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08CC6" w14:textId="1AA49096" w:rsidR="00C9032A" w:rsidRPr="00711180" w:rsidRDefault="00ED2386">
      <w:pPr>
        <w:rPr>
          <w:b/>
          <w:bCs/>
          <w:sz w:val="40"/>
          <w:szCs w:val="40"/>
        </w:rPr>
      </w:pPr>
      <w:r w:rsidRPr="00711180">
        <w:rPr>
          <w:b/>
          <w:bCs/>
          <w:sz w:val="40"/>
          <w:szCs w:val="40"/>
        </w:rPr>
        <w:t>Access to</w:t>
      </w:r>
      <w:r w:rsidR="005D2D9D" w:rsidRPr="00711180">
        <w:rPr>
          <w:b/>
          <w:bCs/>
          <w:sz w:val="40"/>
          <w:szCs w:val="40"/>
        </w:rPr>
        <w:t xml:space="preserve"> childcare </w:t>
      </w:r>
      <w:r w:rsidRPr="00711180">
        <w:rPr>
          <w:b/>
          <w:bCs/>
          <w:sz w:val="40"/>
          <w:szCs w:val="40"/>
        </w:rPr>
        <w:t>in</w:t>
      </w:r>
      <w:r w:rsidR="005D2D9D" w:rsidRPr="00711180">
        <w:rPr>
          <w:b/>
          <w:bCs/>
          <w:sz w:val="40"/>
          <w:szCs w:val="40"/>
        </w:rPr>
        <w:t xml:space="preserve"> Great Britain</w:t>
      </w:r>
    </w:p>
    <w:p w14:paraId="422C3751" w14:textId="4489E1D5" w:rsidR="0008466C" w:rsidRPr="00711180" w:rsidRDefault="0008466C">
      <w:pPr>
        <w:rPr>
          <w:sz w:val="40"/>
          <w:szCs w:val="40"/>
        </w:rPr>
      </w:pPr>
    </w:p>
    <w:p w14:paraId="744C1953" w14:textId="508B700E" w:rsidR="0008466C" w:rsidRPr="00711180" w:rsidRDefault="0008466C">
      <w:pPr>
        <w:rPr>
          <w:sz w:val="40"/>
          <w:szCs w:val="40"/>
        </w:rPr>
      </w:pPr>
    </w:p>
    <w:p w14:paraId="5BDCCBE1" w14:textId="78A98596" w:rsidR="0008466C" w:rsidRPr="00711180" w:rsidRDefault="0006280B">
      <w:pPr>
        <w:rPr>
          <w:sz w:val="40"/>
          <w:szCs w:val="40"/>
        </w:rPr>
      </w:pPr>
      <w:r w:rsidRPr="00711180">
        <w:rPr>
          <w:noProof/>
          <w:sz w:val="40"/>
          <w:szCs w:val="40"/>
        </w:rPr>
        <mc:AlternateContent>
          <mc:Choice Requires="wps">
            <w:drawing>
              <wp:anchor distT="0" distB="0" distL="114300" distR="114300" simplePos="0" relativeHeight="251659264" behindDoc="0" locked="0" layoutInCell="1" allowOverlap="1" wp14:anchorId="595C7F28" wp14:editId="6DEAAFE4">
                <wp:simplePos x="0" y="0"/>
                <wp:positionH relativeFrom="column">
                  <wp:posOffset>-245110</wp:posOffset>
                </wp:positionH>
                <wp:positionV relativeFrom="paragraph">
                  <wp:posOffset>373086</wp:posOffset>
                </wp:positionV>
                <wp:extent cx="6121400" cy="4804012"/>
                <wp:effectExtent l="0" t="0" r="12700" b="9525"/>
                <wp:wrapNone/>
                <wp:docPr id="1" name="Text Box 1"/>
                <wp:cNvGraphicFramePr/>
                <a:graphic xmlns:a="http://schemas.openxmlformats.org/drawingml/2006/main">
                  <a:graphicData uri="http://schemas.microsoft.com/office/word/2010/wordprocessingShape">
                    <wps:wsp>
                      <wps:cNvSpPr txBox="1"/>
                      <wps:spPr>
                        <a:xfrm>
                          <a:off x="0" y="0"/>
                          <a:ext cx="6121400" cy="4804012"/>
                        </a:xfrm>
                        <a:prstGeom prst="rect">
                          <a:avLst/>
                        </a:prstGeom>
                        <a:solidFill>
                          <a:schemeClr val="lt1"/>
                        </a:solidFill>
                        <a:ln w="6350">
                          <a:solidFill>
                            <a:prstClr val="black"/>
                          </a:solidFill>
                        </a:ln>
                      </wps:spPr>
                      <wps:txbx>
                        <w:txbxContent>
                          <w:p w14:paraId="4579D927" w14:textId="47A8A12B" w:rsidR="00446AAE" w:rsidRPr="00711180" w:rsidRDefault="00F46F3B" w:rsidP="00446AAE">
                            <w:pPr>
                              <w:rPr>
                                <w:sz w:val="36"/>
                                <w:szCs w:val="36"/>
                              </w:rPr>
                            </w:pPr>
                            <w:r w:rsidRPr="00711180">
                              <w:rPr>
                                <w:sz w:val="36"/>
                                <w:szCs w:val="36"/>
                              </w:rPr>
                              <w:t xml:space="preserve">Childcare is the single most important driver of the </w:t>
                            </w:r>
                            <w:r w:rsidR="00D9718A" w:rsidRPr="00711180">
                              <w:rPr>
                                <w:sz w:val="36"/>
                                <w:szCs w:val="36"/>
                              </w:rPr>
                              <w:t xml:space="preserve">gender pay and </w:t>
                            </w:r>
                            <w:r w:rsidR="006358D1" w:rsidRPr="00711180">
                              <w:rPr>
                                <w:sz w:val="36"/>
                                <w:szCs w:val="36"/>
                              </w:rPr>
                              <w:t xml:space="preserve">labour market </w:t>
                            </w:r>
                            <w:r w:rsidRPr="00711180">
                              <w:rPr>
                                <w:sz w:val="36"/>
                                <w:szCs w:val="36"/>
                              </w:rPr>
                              <w:t>participation gap</w:t>
                            </w:r>
                            <w:r w:rsidR="006358D1" w:rsidRPr="00711180">
                              <w:rPr>
                                <w:sz w:val="36"/>
                                <w:szCs w:val="36"/>
                              </w:rPr>
                              <w:t>. The current childcare system in the UK is expensive and formal provision is patchy</w:t>
                            </w:r>
                            <w:r w:rsidR="00B43EBE" w:rsidRPr="00711180">
                              <w:rPr>
                                <w:sz w:val="36"/>
                                <w:szCs w:val="36"/>
                              </w:rPr>
                              <w:t xml:space="preserve">. </w:t>
                            </w:r>
                          </w:p>
                          <w:p w14:paraId="12F2C790" w14:textId="77777777" w:rsidR="00446AAE" w:rsidRDefault="00446AAE" w:rsidP="00446AAE"/>
                          <w:p w14:paraId="1E49DEBD" w14:textId="0AFA840D" w:rsidR="00446AAE" w:rsidRPr="00446AAE" w:rsidRDefault="00446AAE" w:rsidP="00446AAE">
                            <w:pPr>
                              <w:shd w:val="clear" w:color="auto" w:fill="D9E2F3" w:themeFill="accent1" w:themeFillTint="33"/>
                              <w:rPr>
                                <w:b/>
                                <w:bCs/>
                                <w:sz w:val="32"/>
                                <w:szCs w:val="32"/>
                              </w:rPr>
                            </w:pPr>
                            <w:r w:rsidRPr="00446AAE">
                              <w:rPr>
                                <w:b/>
                                <w:bCs/>
                                <w:sz w:val="32"/>
                                <w:szCs w:val="32"/>
                              </w:rPr>
                              <w:t>Availability</w:t>
                            </w:r>
                          </w:p>
                          <w:p w14:paraId="67CE4B9E" w14:textId="77777777" w:rsidR="003326F4" w:rsidRDefault="003326F4" w:rsidP="00446AAE"/>
                          <w:p w14:paraId="14807885" w14:textId="207C9E36" w:rsidR="00446AAE" w:rsidRPr="00711180" w:rsidRDefault="00B43EBE" w:rsidP="00446AAE">
                            <w:pPr>
                              <w:rPr>
                                <w:sz w:val="36"/>
                                <w:szCs w:val="36"/>
                              </w:rPr>
                            </w:pPr>
                            <w:r w:rsidRPr="00711180">
                              <w:rPr>
                                <w:sz w:val="36"/>
                                <w:szCs w:val="36"/>
                              </w:rPr>
                              <w:t xml:space="preserve">Across Great Britain, the level of childcare available varies by region and the type of childcare required, </w:t>
                            </w:r>
                            <w:r w:rsidR="00597D93" w:rsidRPr="00711180">
                              <w:rPr>
                                <w:sz w:val="36"/>
                                <w:szCs w:val="36"/>
                              </w:rPr>
                              <w:t xml:space="preserve">heavily </w:t>
                            </w:r>
                            <w:r w:rsidRPr="00711180">
                              <w:rPr>
                                <w:sz w:val="36"/>
                                <w:szCs w:val="36"/>
                              </w:rPr>
                              <w:t xml:space="preserve">depending on the age of the child. </w:t>
                            </w:r>
                            <w:r w:rsidR="00BB13EC" w:rsidRPr="00711180">
                              <w:rPr>
                                <w:sz w:val="36"/>
                                <w:szCs w:val="36"/>
                              </w:rPr>
                              <w:t xml:space="preserve">For example, in England, 72% of local authorities report that there is </w:t>
                            </w:r>
                            <w:r w:rsidRPr="00711180">
                              <w:rPr>
                                <w:sz w:val="36"/>
                                <w:szCs w:val="36"/>
                              </w:rPr>
                              <w:t>enough childcare for children under two,</w:t>
                            </w:r>
                            <w:r w:rsidR="007A6669" w:rsidRPr="00711180">
                              <w:rPr>
                                <w:sz w:val="36"/>
                                <w:szCs w:val="36"/>
                              </w:rPr>
                              <w:t xml:space="preserve"> and in Scotland 81% of local authorities have enough free-entitlement childcare for </w:t>
                            </w:r>
                            <w:proofErr w:type="gramStart"/>
                            <w:r w:rsidR="007A6669" w:rsidRPr="00711180">
                              <w:rPr>
                                <w:sz w:val="36"/>
                                <w:szCs w:val="36"/>
                              </w:rPr>
                              <w:t>3-4 year olds</w:t>
                            </w:r>
                            <w:proofErr w:type="gramEnd"/>
                            <w:r w:rsidR="007A6669" w:rsidRPr="00711180">
                              <w:rPr>
                                <w:sz w:val="36"/>
                                <w:szCs w:val="36"/>
                              </w:rPr>
                              <w:t>,</w:t>
                            </w:r>
                            <w:r w:rsidRPr="00711180">
                              <w:rPr>
                                <w:sz w:val="36"/>
                                <w:szCs w:val="36"/>
                              </w:rPr>
                              <w:t xml:space="preserve"> but things are much harder for </w:t>
                            </w:r>
                            <w:r w:rsidR="00BB13EC" w:rsidRPr="00711180">
                              <w:rPr>
                                <w:sz w:val="36"/>
                                <w:szCs w:val="36"/>
                              </w:rPr>
                              <w:t xml:space="preserve">the parents of disabled children </w:t>
                            </w:r>
                            <w:r w:rsidRPr="00711180">
                              <w:rPr>
                                <w:sz w:val="36"/>
                                <w:szCs w:val="36"/>
                              </w:rPr>
                              <w:t>with only 25% of local authorities reporting sufficient childcare for disabled children.</w:t>
                            </w:r>
                            <w:r w:rsidR="00BB13EC" w:rsidRPr="00711180">
                              <w:rPr>
                                <w:sz w:val="36"/>
                                <w:szCs w:val="36"/>
                              </w:rPr>
                              <w:t xml:space="preserve"> 41% of</w:t>
                            </w:r>
                            <w:r w:rsidRPr="00711180">
                              <w:rPr>
                                <w:sz w:val="36"/>
                                <w:szCs w:val="36"/>
                              </w:rPr>
                              <w:t xml:space="preserve"> </w:t>
                            </w:r>
                            <w:r w:rsidR="00BB13EC" w:rsidRPr="00711180">
                              <w:rPr>
                                <w:sz w:val="36"/>
                                <w:szCs w:val="36"/>
                              </w:rPr>
                              <w:t xml:space="preserve">local authorities in Wales also report that that there is not enough childcare for children of parents working atypical hours. </w:t>
                            </w:r>
                          </w:p>
                          <w:p w14:paraId="3CC30905" w14:textId="77777777" w:rsidR="00446AAE" w:rsidRDefault="00446AAE" w:rsidP="00446AAE"/>
                          <w:p w14:paraId="0CE162D2" w14:textId="3D98DA25" w:rsidR="006363F7" w:rsidRDefault="006363F7" w:rsidP="00037CD3"/>
                          <w:p w14:paraId="2BF59EB3" w14:textId="77777777" w:rsidR="006363F7" w:rsidRPr="00B43EBE" w:rsidRDefault="006363F7" w:rsidP="00037CD3">
                            <w:pPr>
                              <w:rPr>
                                <w:b/>
                                <w:bCs/>
                                <w:sz w:val="28"/>
                                <w:szCs w:val="28"/>
                              </w:rPr>
                            </w:pPr>
                          </w:p>
                          <w:p w14:paraId="1D03B507" w14:textId="52A74B40" w:rsidR="00037CD3" w:rsidRDefault="00037CD3" w:rsidP="00B43EBE"/>
                          <w:p w14:paraId="76FEB99A" w14:textId="673D9AD2" w:rsidR="00862DA8" w:rsidRDefault="00862DA8" w:rsidP="00B43E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5C7F28" id="_x0000_t202" coordsize="21600,21600" o:spt="202" path="m,l,21600r21600,l21600,xe">
                <v:stroke joinstyle="miter"/>
                <v:path gradientshapeok="t" o:connecttype="rect"/>
              </v:shapetype>
              <v:shape id="Text Box 1" o:spid="_x0000_s1026" type="#_x0000_t202" style="position:absolute;margin-left:-19.3pt;margin-top:29.4pt;width:482pt;height:37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" fillcolor="white [3201]" strokeweight=".5pt">
                <v:textbox>
                  <w:txbxContent>
                    <w:p w14:paraId="4579D927" w14:textId="47A8A12B" w:rsidR="00446AAE" w:rsidRPr="00711180" w:rsidRDefault="00F46F3B" w:rsidP="00446AAE">
                      <w:pPr>
                        <w:rPr>
                          <w:sz w:val="36"/>
                          <w:szCs w:val="36"/>
                        </w:rPr>
                      </w:pPr>
                      <w:r w:rsidRPr="00711180">
                        <w:rPr>
                          <w:sz w:val="36"/>
                          <w:szCs w:val="36"/>
                        </w:rPr>
                        <w:t xml:space="preserve">Childcare is the single most important driver of the </w:t>
                      </w:r>
                      <w:r w:rsidR="00D9718A" w:rsidRPr="00711180">
                        <w:rPr>
                          <w:sz w:val="36"/>
                          <w:szCs w:val="36"/>
                        </w:rPr>
                        <w:t xml:space="preserve">gender pay and </w:t>
                      </w:r>
                      <w:r w:rsidR="006358D1" w:rsidRPr="00711180">
                        <w:rPr>
                          <w:sz w:val="36"/>
                          <w:szCs w:val="36"/>
                        </w:rPr>
                        <w:t xml:space="preserve">labour market </w:t>
                      </w:r>
                      <w:r w:rsidRPr="00711180">
                        <w:rPr>
                          <w:sz w:val="36"/>
                          <w:szCs w:val="36"/>
                        </w:rPr>
                        <w:t>participation gap</w:t>
                      </w:r>
                      <w:r w:rsidR="006358D1" w:rsidRPr="00711180">
                        <w:rPr>
                          <w:sz w:val="36"/>
                          <w:szCs w:val="36"/>
                        </w:rPr>
                        <w:t>. The current childcare system in the UK is expensive and formal provision is patchy</w:t>
                      </w:r>
                      <w:r w:rsidR="00B43EBE" w:rsidRPr="00711180">
                        <w:rPr>
                          <w:sz w:val="36"/>
                          <w:szCs w:val="36"/>
                        </w:rPr>
                        <w:t xml:space="preserve">. </w:t>
                      </w:r>
                    </w:p>
                    <w:p w14:paraId="12F2C790" w14:textId="77777777" w:rsidR="00446AAE" w:rsidRDefault="00446AAE" w:rsidP="00446AAE"/>
                    <w:p w14:paraId="1E49DEBD" w14:textId="0AFA840D" w:rsidR="00446AAE" w:rsidRPr="00446AAE" w:rsidRDefault="00446AAE" w:rsidP="00446AAE">
                      <w:pPr>
                        <w:shd w:val="clear" w:color="auto" w:fill="D9E2F3" w:themeFill="accent1" w:themeFillTint="33"/>
                        <w:rPr>
                          <w:b/>
                          <w:bCs/>
                          <w:sz w:val="32"/>
                          <w:szCs w:val="32"/>
                        </w:rPr>
                      </w:pPr>
                      <w:r w:rsidRPr="00446AAE">
                        <w:rPr>
                          <w:b/>
                          <w:bCs/>
                          <w:sz w:val="32"/>
                          <w:szCs w:val="32"/>
                        </w:rPr>
                        <w:t>Availability</w:t>
                      </w:r>
                    </w:p>
                    <w:p w14:paraId="67CE4B9E" w14:textId="77777777" w:rsidR="003326F4" w:rsidRDefault="003326F4" w:rsidP="00446AAE"/>
                    <w:p w14:paraId="14807885" w14:textId="207C9E36" w:rsidR="00446AAE" w:rsidRPr="00711180" w:rsidRDefault="00B43EBE" w:rsidP="00446AAE">
                      <w:pPr>
                        <w:rPr>
                          <w:sz w:val="36"/>
                          <w:szCs w:val="36"/>
                        </w:rPr>
                      </w:pPr>
                      <w:r w:rsidRPr="00711180">
                        <w:rPr>
                          <w:sz w:val="36"/>
                          <w:szCs w:val="36"/>
                        </w:rPr>
                        <w:t xml:space="preserve">Across Great Britain, the level of childcare available varies by region and the type of childcare required, </w:t>
                      </w:r>
                      <w:r w:rsidR="00597D93" w:rsidRPr="00711180">
                        <w:rPr>
                          <w:sz w:val="36"/>
                          <w:szCs w:val="36"/>
                        </w:rPr>
                        <w:t xml:space="preserve">heavily </w:t>
                      </w:r>
                      <w:r w:rsidRPr="00711180">
                        <w:rPr>
                          <w:sz w:val="36"/>
                          <w:szCs w:val="36"/>
                        </w:rPr>
                        <w:t xml:space="preserve">depending on the age of the child. </w:t>
                      </w:r>
                      <w:r w:rsidR="00BB13EC" w:rsidRPr="00711180">
                        <w:rPr>
                          <w:sz w:val="36"/>
                          <w:szCs w:val="36"/>
                        </w:rPr>
                        <w:t xml:space="preserve">For example, in England, 72% of local authorities report that there is </w:t>
                      </w:r>
                      <w:r w:rsidRPr="00711180">
                        <w:rPr>
                          <w:sz w:val="36"/>
                          <w:szCs w:val="36"/>
                        </w:rPr>
                        <w:t>enough childcare for children under two,</w:t>
                      </w:r>
                      <w:r w:rsidR="007A6669" w:rsidRPr="00711180">
                        <w:rPr>
                          <w:sz w:val="36"/>
                          <w:szCs w:val="36"/>
                        </w:rPr>
                        <w:t xml:space="preserve"> and in Scotland 81% of local authorities have enough free-entitlement childcare for </w:t>
                      </w:r>
                      <w:proofErr w:type="gramStart"/>
                      <w:r w:rsidR="007A6669" w:rsidRPr="00711180">
                        <w:rPr>
                          <w:sz w:val="36"/>
                          <w:szCs w:val="36"/>
                        </w:rPr>
                        <w:t>3-4 year olds</w:t>
                      </w:r>
                      <w:proofErr w:type="gramEnd"/>
                      <w:r w:rsidR="007A6669" w:rsidRPr="00711180">
                        <w:rPr>
                          <w:sz w:val="36"/>
                          <w:szCs w:val="36"/>
                        </w:rPr>
                        <w:t>,</w:t>
                      </w:r>
                      <w:r w:rsidRPr="00711180">
                        <w:rPr>
                          <w:sz w:val="36"/>
                          <w:szCs w:val="36"/>
                        </w:rPr>
                        <w:t xml:space="preserve"> but things are much harder for </w:t>
                      </w:r>
                      <w:r w:rsidR="00BB13EC" w:rsidRPr="00711180">
                        <w:rPr>
                          <w:sz w:val="36"/>
                          <w:szCs w:val="36"/>
                        </w:rPr>
                        <w:t xml:space="preserve">the parents of disabled children </w:t>
                      </w:r>
                      <w:r w:rsidRPr="00711180">
                        <w:rPr>
                          <w:sz w:val="36"/>
                          <w:szCs w:val="36"/>
                        </w:rPr>
                        <w:t>with only 25% of local authorities reporting sufficient childcare for disabled children.</w:t>
                      </w:r>
                      <w:r w:rsidR="00BB13EC" w:rsidRPr="00711180">
                        <w:rPr>
                          <w:sz w:val="36"/>
                          <w:szCs w:val="36"/>
                        </w:rPr>
                        <w:t xml:space="preserve"> 41% of</w:t>
                      </w:r>
                      <w:r w:rsidRPr="00711180">
                        <w:rPr>
                          <w:sz w:val="36"/>
                          <w:szCs w:val="36"/>
                        </w:rPr>
                        <w:t xml:space="preserve"> </w:t>
                      </w:r>
                      <w:r w:rsidR="00BB13EC" w:rsidRPr="00711180">
                        <w:rPr>
                          <w:sz w:val="36"/>
                          <w:szCs w:val="36"/>
                        </w:rPr>
                        <w:t xml:space="preserve">local authorities in Wales also report that that there is not enough childcare for children of parents working atypical hours. </w:t>
                      </w:r>
                    </w:p>
                    <w:p w14:paraId="3CC30905" w14:textId="77777777" w:rsidR="00446AAE" w:rsidRDefault="00446AAE" w:rsidP="00446AAE"/>
                    <w:p w14:paraId="0CE162D2" w14:textId="3D98DA25" w:rsidR="006363F7" w:rsidRDefault="006363F7" w:rsidP="00037CD3"/>
                    <w:p w14:paraId="2BF59EB3" w14:textId="77777777" w:rsidR="006363F7" w:rsidRPr="00B43EBE" w:rsidRDefault="006363F7" w:rsidP="00037CD3">
                      <w:pPr>
                        <w:rPr>
                          <w:b/>
                          <w:bCs/>
                          <w:sz w:val="28"/>
                          <w:szCs w:val="28"/>
                        </w:rPr>
                      </w:pPr>
                    </w:p>
                    <w:p w14:paraId="1D03B507" w14:textId="52A74B40" w:rsidR="00037CD3" w:rsidRDefault="00037CD3" w:rsidP="00B43EBE"/>
                    <w:p w14:paraId="76FEB99A" w14:textId="673D9AD2" w:rsidR="00862DA8" w:rsidRDefault="00862DA8" w:rsidP="00B43EBE"/>
                  </w:txbxContent>
                </v:textbox>
              </v:shape>
            </w:pict>
          </mc:Fallback>
        </mc:AlternateContent>
      </w:r>
    </w:p>
    <w:p w14:paraId="7FB3828F" w14:textId="6C0D5CF3" w:rsidR="0008466C" w:rsidRPr="00711180" w:rsidRDefault="0008466C">
      <w:pPr>
        <w:rPr>
          <w:sz w:val="40"/>
          <w:szCs w:val="40"/>
        </w:rPr>
      </w:pPr>
    </w:p>
    <w:p w14:paraId="5A2D24D9" w14:textId="3D779A96" w:rsidR="0008466C" w:rsidRPr="00711180" w:rsidRDefault="0008466C">
      <w:pPr>
        <w:rPr>
          <w:sz w:val="40"/>
          <w:szCs w:val="40"/>
        </w:rPr>
      </w:pPr>
    </w:p>
    <w:p w14:paraId="3815EE8E" w14:textId="6D8E9828" w:rsidR="0008466C" w:rsidRPr="00711180" w:rsidRDefault="0008466C">
      <w:pPr>
        <w:rPr>
          <w:sz w:val="40"/>
          <w:szCs w:val="40"/>
        </w:rPr>
      </w:pPr>
    </w:p>
    <w:p w14:paraId="5411D9DD" w14:textId="164C4C7B" w:rsidR="0008466C" w:rsidRPr="00711180" w:rsidRDefault="0008466C">
      <w:pPr>
        <w:rPr>
          <w:sz w:val="40"/>
          <w:szCs w:val="40"/>
        </w:rPr>
      </w:pPr>
    </w:p>
    <w:p w14:paraId="63D5B5E8" w14:textId="685F3F01" w:rsidR="0008466C" w:rsidRPr="00711180" w:rsidRDefault="0008466C">
      <w:pPr>
        <w:rPr>
          <w:sz w:val="40"/>
          <w:szCs w:val="40"/>
        </w:rPr>
      </w:pPr>
    </w:p>
    <w:p w14:paraId="45122DD5" w14:textId="2DCE09A6" w:rsidR="0008466C" w:rsidRPr="00711180" w:rsidRDefault="0008466C">
      <w:pPr>
        <w:rPr>
          <w:sz w:val="40"/>
          <w:szCs w:val="40"/>
        </w:rPr>
      </w:pPr>
    </w:p>
    <w:p w14:paraId="5B232459" w14:textId="235583F7" w:rsidR="0008466C" w:rsidRPr="00711180" w:rsidRDefault="0008466C">
      <w:pPr>
        <w:rPr>
          <w:sz w:val="40"/>
          <w:szCs w:val="40"/>
        </w:rPr>
      </w:pPr>
    </w:p>
    <w:p w14:paraId="34C7E7CD" w14:textId="2714EF8F" w:rsidR="0008466C" w:rsidRPr="00711180" w:rsidRDefault="0008466C">
      <w:pPr>
        <w:rPr>
          <w:sz w:val="40"/>
          <w:szCs w:val="40"/>
        </w:rPr>
      </w:pPr>
    </w:p>
    <w:p w14:paraId="5026C299" w14:textId="00FFD2A9" w:rsidR="0008466C" w:rsidRPr="00711180" w:rsidRDefault="0008466C">
      <w:pPr>
        <w:rPr>
          <w:sz w:val="40"/>
          <w:szCs w:val="40"/>
        </w:rPr>
      </w:pPr>
    </w:p>
    <w:p w14:paraId="10659CE0" w14:textId="253FF5F3" w:rsidR="0008466C" w:rsidRPr="00711180" w:rsidRDefault="0008466C">
      <w:pPr>
        <w:rPr>
          <w:sz w:val="40"/>
          <w:szCs w:val="40"/>
        </w:rPr>
      </w:pPr>
    </w:p>
    <w:p w14:paraId="21CB2413" w14:textId="0933BA9B" w:rsidR="0008466C" w:rsidRPr="00711180" w:rsidRDefault="0008466C">
      <w:pPr>
        <w:rPr>
          <w:sz w:val="40"/>
          <w:szCs w:val="40"/>
        </w:rPr>
      </w:pPr>
    </w:p>
    <w:p w14:paraId="208A8DA6" w14:textId="7E68DBC3" w:rsidR="0008466C" w:rsidRPr="00711180" w:rsidRDefault="0008466C">
      <w:pPr>
        <w:rPr>
          <w:sz w:val="40"/>
          <w:szCs w:val="40"/>
        </w:rPr>
      </w:pPr>
    </w:p>
    <w:p w14:paraId="17C3CC77" w14:textId="4D87B830" w:rsidR="0008466C" w:rsidRPr="00711180" w:rsidRDefault="0008466C">
      <w:pPr>
        <w:rPr>
          <w:sz w:val="40"/>
          <w:szCs w:val="40"/>
        </w:rPr>
      </w:pPr>
    </w:p>
    <w:p w14:paraId="6AB1E3CC" w14:textId="457D0B8F" w:rsidR="0008466C" w:rsidRPr="00711180" w:rsidRDefault="0008466C">
      <w:pPr>
        <w:rPr>
          <w:sz w:val="40"/>
          <w:szCs w:val="40"/>
        </w:rPr>
      </w:pPr>
    </w:p>
    <w:p w14:paraId="69314FDA" w14:textId="23D15569" w:rsidR="0008466C" w:rsidRPr="00711180" w:rsidRDefault="0008466C">
      <w:pPr>
        <w:rPr>
          <w:sz w:val="40"/>
          <w:szCs w:val="40"/>
        </w:rPr>
      </w:pPr>
    </w:p>
    <w:p w14:paraId="30C6503F" w14:textId="43015615" w:rsidR="0008466C" w:rsidRPr="00711180" w:rsidRDefault="0008466C">
      <w:pPr>
        <w:rPr>
          <w:sz w:val="40"/>
          <w:szCs w:val="40"/>
        </w:rPr>
      </w:pPr>
    </w:p>
    <w:p w14:paraId="25502B43" w14:textId="0F9875B2" w:rsidR="0008466C" w:rsidRPr="00711180" w:rsidRDefault="0008466C">
      <w:pPr>
        <w:rPr>
          <w:sz w:val="40"/>
          <w:szCs w:val="40"/>
        </w:rPr>
      </w:pPr>
    </w:p>
    <w:p w14:paraId="66E7E4A9" w14:textId="693C0DAB" w:rsidR="0008466C" w:rsidRPr="00711180" w:rsidRDefault="0008466C">
      <w:pPr>
        <w:rPr>
          <w:sz w:val="40"/>
          <w:szCs w:val="40"/>
        </w:rPr>
      </w:pPr>
    </w:p>
    <w:p w14:paraId="3FE55700" w14:textId="5C477AD5" w:rsidR="0008466C" w:rsidRPr="00711180" w:rsidRDefault="0008466C">
      <w:pPr>
        <w:rPr>
          <w:sz w:val="40"/>
          <w:szCs w:val="40"/>
        </w:rPr>
      </w:pPr>
    </w:p>
    <w:p w14:paraId="3D40236F" w14:textId="609C1BEF" w:rsidR="0008466C" w:rsidRPr="00711180" w:rsidRDefault="0008466C">
      <w:pPr>
        <w:rPr>
          <w:sz w:val="40"/>
          <w:szCs w:val="40"/>
        </w:rPr>
      </w:pPr>
    </w:p>
    <w:p w14:paraId="5FE88C05" w14:textId="775080BE" w:rsidR="0008466C" w:rsidRPr="00711180" w:rsidRDefault="0008466C">
      <w:pPr>
        <w:rPr>
          <w:sz w:val="40"/>
          <w:szCs w:val="40"/>
        </w:rPr>
      </w:pPr>
    </w:p>
    <w:p w14:paraId="6667EC90" w14:textId="3BEB2DC0" w:rsidR="0008466C" w:rsidRPr="00711180" w:rsidRDefault="0008466C">
      <w:pPr>
        <w:rPr>
          <w:sz w:val="40"/>
          <w:szCs w:val="40"/>
        </w:rPr>
      </w:pPr>
    </w:p>
    <w:p w14:paraId="4846E5A2" w14:textId="62E44B3F" w:rsidR="0008466C" w:rsidRPr="00711180" w:rsidRDefault="0008466C">
      <w:pPr>
        <w:rPr>
          <w:sz w:val="40"/>
          <w:szCs w:val="40"/>
        </w:rPr>
      </w:pPr>
    </w:p>
    <w:p w14:paraId="21776041" w14:textId="2397BE20" w:rsidR="00446AAE" w:rsidRPr="00711180" w:rsidRDefault="00711180" w:rsidP="00711180">
      <w:pPr>
        <w:rPr>
          <w:b/>
          <w:bCs/>
          <w:sz w:val="40"/>
          <w:szCs w:val="40"/>
          <w:u w:val="single"/>
        </w:rPr>
      </w:pPr>
      <w:r>
        <w:rPr>
          <w:b/>
          <w:bCs/>
          <w:noProof/>
          <w:sz w:val="40"/>
          <w:szCs w:val="40"/>
          <w:u w:val="single"/>
        </w:rPr>
        <w:lastRenderedPageBreak/>
        <mc:AlternateContent>
          <mc:Choice Requires="wps">
            <w:drawing>
              <wp:anchor distT="0" distB="0" distL="114300" distR="114300" simplePos="0" relativeHeight="251662336" behindDoc="0" locked="0" layoutInCell="1" allowOverlap="1" wp14:anchorId="42675013" wp14:editId="52143D24">
                <wp:simplePos x="0" y="0"/>
                <wp:positionH relativeFrom="column">
                  <wp:posOffset>-81887</wp:posOffset>
                </wp:positionH>
                <wp:positionV relativeFrom="paragraph">
                  <wp:posOffset>-668741</wp:posOffset>
                </wp:positionV>
                <wp:extent cx="6059606" cy="10235821"/>
                <wp:effectExtent l="0" t="0" r="11430" b="13335"/>
                <wp:wrapNone/>
                <wp:docPr id="5" name="Text Box 5"/>
                <wp:cNvGraphicFramePr/>
                <a:graphic xmlns:a="http://schemas.openxmlformats.org/drawingml/2006/main">
                  <a:graphicData uri="http://schemas.microsoft.com/office/word/2010/wordprocessingShape">
                    <wps:wsp>
                      <wps:cNvSpPr txBox="1"/>
                      <wps:spPr>
                        <a:xfrm>
                          <a:off x="0" y="0"/>
                          <a:ext cx="6059606" cy="10235821"/>
                        </a:xfrm>
                        <a:prstGeom prst="rect">
                          <a:avLst/>
                        </a:prstGeom>
                        <a:solidFill>
                          <a:schemeClr val="lt1"/>
                        </a:solidFill>
                        <a:ln w="6350">
                          <a:solidFill>
                            <a:prstClr val="black"/>
                          </a:solidFill>
                        </a:ln>
                      </wps:spPr>
                      <wps:txbx>
                        <w:txbxContent>
                          <w:p w14:paraId="592DB71D" w14:textId="77777777" w:rsidR="00711180" w:rsidRPr="00446AAE" w:rsidRDefault="00711180" w:rsidP="00711180">
                            <w:pPr>
                              <w:shd w:val="clear" w:color="auto" w:fill="D9E2F3" w:themeFill="accent1" w:themeFillTint="33"/>
                              <w:rPr>
                                <w:b/>
                                <w:bCs/>
                                <w:sz w:val="36"/>
                                <w:szCs w:val="36"/>
                              </w:rPr>
                            </w:pPr>
                            <w:r w:rsidRPr="00446AAE">
                              <w:rPr>
                                <w:b/>
                                <w:bCs/>
                                <w:sz w:val="32"/>
                                <w:szCs w:val="32"/>
                              </w:rPr>
                              <w:t>Affordability</w:t>
                            </w:r>
                          </w:p>
                          <w:p w14:paraId="49D6B5B1" w14:textId="77777777" w:rsidR="00711180" w:rsidRPr="00711180" w:rsidRDefault="00711180" w:rsidP="00711180">
                            <w:pPr>
                              <w:rPr>
                                <w:sz w:val="36"/>
                                <w:szCs w:val="36"/>
                              </w:rPr>
                            </w:pPr>
                          </w:p>
                          <w:p w14:paraId="4D051F31" w14:textId="77777777" w:rsidR="00711180" w:rsidRPr="00711180" w:rsidRDefault="00711180" w:rsidP="00711180">
                            <w:pPr>
                              <w:rPr>
                                <w:sz w:val="36"/>
                                <w:szCs w:val="36"/>
                              </w:rPr>
                            </w:pPr>
                            <w:r w:rsidRPr="00711180">
                              <w:rPr>
                                <w:sz w:val="36"/>
                                <w:szCs w:val="36"/>
                              </w:rPr>
                              <w:t>Childcare is more expensive for younger children: part-time and full-time childcare for under 2-year-olds absorbs at least half of women’s median earnings in Great Britain. State support for 3- and 4-year-olds makes a huge difference to affordability but childcare for this age group is still between a fifth and a quarter of women’s salaries.</w:t>
                            </w:r>
                          </w:p>
                          <w:p w14:paraId="588A771C" w14:textId="77777777" w:rsidR="00711180" w:rsidRPr="00711180" w:rsidRDefault="00711180" w:rsidP="00711180">
                            <w:pPr>
                              <w:rPr>
                                <w:sz w:val="36"/>
                                <w:szCs w:val="36"/>
                              </w:rPr>
                            </w:pPr>
                          </w:p>
                          <w:tbl>
                            <w:tblPr>
                              <w:tblW w:w="9226" w:type="dxa"/>
                              <w:tblInd w:w="-5" w:type="dxa"/>
                              <w:tblLook w:val="04A0" w:firstRow="1" w:lastRow="0" w:firstColumn="1" w:lastColumn="0" w:noHBand="0" w:noVBand="1"/>
                            </w:tblPr>
                            <w:tblGrid>
                              <w:gridCol w:w="3798"/>
                              <w:gridCol w:w="1401"/>
                              <w:gridCol w:w="2072"/>
                              <w:gridCol w:w="2072"/>
                            </w:tblGrid>
                            <w:tr w:rsidR="00711180" w:rsidRPr="00711180" w14:paraId="3F8747C4" w14:textId="77777777" w:rsidTr="00A36DE8">
                              <w:trPr>
                                <w:trHeight w:val="1265"/>
                              </w:trPr>
                              <w:tc>
                                <w:tcPr>
                                  <w:tcW w:w="50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0864FB" w14:textId="77777777" w:rsidR="00711180" w:rsidRPr="00711180" w:rsidRDefault="00711180" w:rsidP="00711180">
                                  <w:pPr>
                                    <w:rPr>
                                      <w:rFonts w:ascii="Calibri" w:eastAsia="Times New Roman" w:hAnsi="Calibri" w:cs="Calibri"/>
                                      <w:b/>
                                      <w:bCs/>
                                      <w:color w:val="000000"/>
                                      <w:sz w:val="36"/>
                                      <w:szCs w:val="36"/>
                                    </w:rPr>
                                  </w:pPr>
                                  <w:r w:rsidRPr="00711180">
                                    <w:rPr>
                                      <w:rFonts w:ascii="Calibri" w:eastAsia="Times New Roman" w:hAnsi="Calibri" w:cs="Calibri"/>
                                      <w:b/>
                                      <w:bCs/>
                                      <w:color w:val="000000"/>
                                      <w:sz w:val="36"/>
                                      <w:szCs w:val="36"/>
                                    </w:rPr>
                                    <w:t>Childcare costs in Great Britain for children in Nursery (per year)</w:t>
                                  </w:r>
                                </w:p>
                              </w:tc>
                              <w:tc>
                                <w:tcPr>
                                  <w:tcW w:w="2072" w:type="dxa"/>
                                  <w:tcBorders>
                                    <w:top w:val="single" w:sz="4" w:space="0" w:color="auto"/>
                                    <w:left w:val="nil"/>
                                    <w:bottom w:val="single" w:sz="4" w:space="0" w:color="auto"/>
                                    <w:right w:val="single" w:sz="4" w:space="0" w:color="auto"/>
                                  </w:tcBorders>
                                  <w:shd w:val="clear" w:color="auto" w:fill="auto"/>
                                  <w:vAlign w:val="bottom"/>
                                  <w:hideMark/>
                                </w:tcPr>
                                <w:p w14:paraId="0416DC09" w14:textId="77777777" w:rsidR="00711180" w:rsidRPr="00711180" w:rsidRDefault="00711180" w:rsidP="00711180">
                                  <w:pPr>
                                    <w:jc w:val="center"/>
                                    <w:rPr>
                                      <w:rFonts w:ascii="Calibri" w:eastAsia="Times New Roman" w:hAnsi="Calibri" w:cs="Calibri"/>
                                      <w:b/>
                                      <w:bCs/>
                                      <w:color w:val="000000"/>
                                      <w:sz w:val="36"/>
                                      <w:szCs w:val="36"/>
                                    </w:rPr>
                                  </w:pPr>
                                  <w:r w:rsidRPr="00711180">
                                    <w:rPr>
                                      <w:rFonts w:ascii="Calibri" w:eastAsia="Times New Roman" w:hAnsi="Calibri" w:cs="Calibri"/>
                                      <w:b/>
                                      <w:bCs/>
                                      <w:color w:val="000000"/>
                                      <w:sz w:val="36"/>
                                      <w:szCs w:val="36"/>
                                    </w:rPr>
                                    <w:t>Women's Median earnings (per year)</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7C03F97E" w14:textId="77777777" w:rsidR="00711180" w:rsidRPr="00711180" w:rsidRDefault="00711180" w:rsidP="00711180">
                                  <w:pPr>
                                    <w:jc w:val="center"/>
                                    <w:rPr>
                                      <w:rFonts w:ascii="Calibri" w:eastAsia="Times New Roman" w:hAnsi="Calibri" w:cs="Calibri"/>
                                      <w:b/>
                                      <w:bCs/>
                                      <w:color w:val="000000"/>
                                      <w:sz w:val="36"/>
                                      <w:szCs w:val="36"/>
                                    </w:rPr>
                                  </w:pPr>
                                  <w:r w:rsidRPr="00711180">
                                    <w:rPr>
                                      <w:rFonts w:ascii="Calibri" w:eastAsia="Times New Roman" w:hAnsi="Calibri" w:cs="Calibri"/>
                                      <w:b/>
                                      <w:bCs/>
                                      <w:color w:val="000000"/>
                                      <w:sz w:val="36"/>
                                      <w:szCs w:val="36"/>
                                    </w:rPr>
                                    <w:t xml:space="preserve">% </w:t>
                                  </w:r>
                                  <w:proofErr w:type="gramStart"/>
                                  <w:r w:rsidRPr="00711180">
                                    <w:rPr>
                                      <w:rFonts w:ascii="Calibri" w:eastAsia="Times New Roman" w:hAnsi="Calibri" w:cs="Calibri"/>
                                      <w:b/>
                                      <w:bCs/>
                                      <w:color w:val="000000"/>
                                      <w:sz w:val="36"/>
                                      <w:szCs w:val="36"/>
                                    </w:rPr>
                                    <w:t>of</w:t>
                                  </w:r>
                                  <w:proofErr w:type="gramEnd"/>
                                  <w:r w:rsidRPr="00711180">
                                    <w:rPr>
                                      <w:rFonts w:ascii="Calibri" w:eastAsia="Times New Roman" w:hAnsi="Calibri" w:cs="Calibri"/>
                                      <w:b/>
                                      <w:bCs/>
                                      <w:color w:val="000000"/>
                                      <w:sz w:val="36"/>
                                      <w:szCs w:val="36"/>
                                    </w:rPr>
                                    <w:t xml:space="preserve"> women’s earnings absorbed by childcare</w:t>
                                  </w:r>
                                </w:p>
                              </w:tc>
                            </w:tr>
                            <w:tr w:rsidR="00711180" w:rsidRPr="00711180" w14:paraId="405EE450" w14:textId="77777777" w:rsidTr="00A36DE8">
                              <w:trPr>
                                <w:trHeight w:val="397"/>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43D900BF" w14:textId="77777777" w:rsidR="00711180" w:rsidRPr="00711180" w:rsidRDefault="00711180" w:rsidP="00711180">
                                  <w:pPr>
                                    <w:rPr>
                                      <w:rFonts w:ascii="Calibri" w:eastAsia="Times New Roman" w:hAnsi="Calibri" w:cs="Calibri"/>
                                      <w:color w:val="000000"/>
                                      <w:sz w:val="36"/>
                                      <w:szCs w:val="36"/>
                                    </w:rPr>
                                  </w:pPr>
                                  <w:r w:rsidRPr="00711180">
                                    <w:rPr>
                                      <w:rFonts w:ascii="Calibri" w:eastAsia="Times New Roman" w:hAnsi="Calibri" w:cs="Calibri"/>
                                      <w:color w:val="000000"/>
                                      <w:sz w:val="36"/>
                                      <w:szCs w:val="36"/>
                                    </w:rPr>
                                    <w:t>&lt; 2-year-olds (part-time)</w:t>
                                  </w:r>
                                </w:p>
                              </w:tc>
                              <w:tc>
                                <w:tcPr>
                                  <w:tcW w:w="1284" w:type="dxa"/>
                                  <w:tcBorders>
                                    <w:top w:val="nil"/>
                                    <w:left w:val="nil"/>
                                    <w:bottom w:val="single" w:sz="4" w:space="0" w:color="auto"/>
                                    <w:right w:val="single" w:sz="4" w:space="0" w:color="auto"/>
                                  </w:tcBorders>
                                  <w:shd w:val="clear" w:color="auto" w:fill="auto"/>
                                  <w:noWrap/>
                                  <w:vAlign w:val="bottom"/>
                                  <w:hideMark/>
                                </w:tcPr>
                                <w:p w14:paraId="76FE715B"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£7,160 </w:t>
                                  </w:r>
                                </w:p>
                              </w:tc>
                              <w:tc>
                                <w:tcPr>
                                  <w:tcW w:w="2072" w:type="dxa"/>
                                  <w:tcBorders>
                                    <w:top w:val="nil"/>
                                    <w:left w:val="nil"/>
                                    <w:bottom w:val="single" w:sz="4" w:space="0" w:color="auto"/>
                                    <w:right w:val="single" w:sz="4" w:space="0" w:color="auto"/>
                                  </w:tcBorders>
                                  <w:shd w:val="clear" w:color="auto" w:fill="auto"/>
                                  <w:noWrap/>
                                  <w:vAlign w:val="bottom"/>
                                  <w:hideMark/>
                                </w:tcPr>
                                <w:p w14:paraId="1A4FA553"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£11,324 </w:t>
                                  </w:r>
                                </w:p>
                              </w:tc>
                              <w:tc>
                                <w:tcPr>
                                  <w:tcW w:w="2072" w:type="dxa"/>
                                  <w:tcBorders>
                                    <w:top w:val="nil"/>
                                    <w:left w:val="nil"/>
                                    <w:bottom w:val="single" w:sz="4" w:space="0" w:color="auto"/>
                                    <w:right w:val="single" w:sz="4" w:space="0" w:color="auto"/>
                                  </w:tcBorders>
                                  <w:shd w:val="clear" w:color="auto" w:fill="auto"/>
                                  <w:noWrap/>
                                  <w:vAlign w:val="bottom"/>
                                  <w:hideMark/>
                                </w:tcPr>
                                <w:p w14:paraId="7C861EF7"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63%</w:t>
                                  </w:r>
                                </w:p>
                              </w:tc>
                            </w:tr>
                            <w:tr w:rsidR="00711180" w:rsidRPr="00711180" w14:paraId="22827149" w14:textId="77777777" w:rsidTr="00A36DE8">
                              <w:trPr>
                                <w:trHeight w:val="397"/>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1369B133" w14:textId="77777777" w:rsidR="00711180" w:rsidRPr="00711180" w:rsidRDefault="00711180" w:rsidP="00711180">
                                  <w:pPr>
                                    <w:rPr>
                                      <w:rFonts w:ascii="Calibri" w:eastAsia="Times New Roman" w:hAnsi="Calibri" w:cs="Calibri"/>
                                      <w:color w:val="000000"/>
                                      <w:sz w:val="36"/>
                                      <w:szCs w:val="36"/>
                                    </w:rPr>
                                  </w:pPr>
                                  <w:r w:rsidRPr="00711180">
                                    <w:rPr>
                                      <w:rFonts w:ascii="Calibri" w:eastAsia="Times New Roman" w:hAnsi="Calibri" w:cs="Calibri"/>
                                      <w:color w:val="000000"/>
                                      <w:sz w:val="36"/>
                                      <w:szCs w:val="36"/>
                                    </w:rPr>
                                    <w:t>&lt; 2-year-olds (full-time)</w:t>
                                  </w:r>
                                </w:p>
                              </w:tc>
                              <w:tc>
                                <w:tcPr>
                                  <w:tcW w:w="1284" w:type="dxa"/>
                                  <w:tcBorders>
                                    <w:top w:val="nil"/>
                                    <w:left w:val="nil"/>
                                    <w:bottom w:val="single" w:sz="4" w:space="0" w:color="auto"/>
                                    <w:right w:val="single" w:sz="4" w:space="0" w:color="auto"/>
                                  </w:tcBorders>
                                  <w:shd w:val="clear" w:color="auto" w:fill="auto"/>
                                  <w:noWrap/>
                                  <w:vAlign w:val="bottom"/>
                                  <w:hideMark/>
                                </w:tcPr>
                                <w:p w14:paraId="58BFA6BA"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£13,718 </w:t>
                                  </w:r>
                                </w:p>
                              </w:tc>
                              <w:tc>
                                <w:tcPr>
                                  <w:tcW w:w="2072" w:type="dxa"/>
                                  <w:tcBorders>
                                    <w:top w:val="nil"/>
                                    <w:left w:val="nil"/>
                                    <w:bottom w:val="single" w:sz="4" w:space="0" w:color="auto"/>
                                    <w:right w:val="single" w:sz="4" w:space="0" w:color="auto"/>
                                  </w:tcBorders>
                                  <w:shd w:val="clear" w:color="auto" w:fill="auto"/>
                                  <w:noWrap/>
                                  <w:vAlign w:val="bottom"/>
                                  <w:hideMark/>
                                </w:tcPr>
                                <w:p w14:paraId="4B6C060F"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£28,021 </w:t>
                                  </w:r>
                                </w:p>
                              </w:tc>
                              <w:tc>
                                <w:tcPr>
                                  <w:tcW w:w="2072" w:type="dxa"/>
                                  <w:tcBorders>
                                    <w:top w:val="nil"/>
                                    <w:left w:val="nil"/>
                                    <w:bottom w:val="single" w:sz="4" w:space="0" w:color="auto"/>
                                    <w:right w:val="single" w:sz="4" w:space="0" w:color="auto"/>
                                  </w:tcBorders>
                                  <w:shd w:val="clear" w:color="auto" w:fill="auto"/>
                                  <w:noWrap/>
                                  <w:vAlign w:val="bottom"/>
                                  <w:hideMark/>
                                </w:tcPr>
                                <w:p w14:paraId="0A315B26"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49%</w:t>
                                  </w:r>
                                </w:p>
                              </w:tc>
                            </w:tr>
                          </w:tbl>
                          <w:p w14:paraId="0140C501" w14:textId="77777777" w:rsidR="00711180" w:rsidRPr="00711180" w:rsidRDefault="00711180" w:rsidP="00711180">
                            <w:pPr>
                              <w:rPr>
                                <w:b/>
                                <w:bCs/>
                                <w:sz w:val="40"/>
                                <w:szCs w:val="40"/>
                              </w:rPr>
                            </w:pPr>
                          </w:p>
                          <w:tbl>
                            <w:tblPr>
                              <w:tblW w:w="9207" w:type="dxa"/>
                              <w:tblLook w:val="04A0" w:firstRow="1" w:lastRow="0" w:firstColumn="1" w:lastColumn="0" w:noHBand="0" w:noVBand="1"/>
                            </w:tblPr>
                            <w:tblGrid>
                              <w:gridCol w:w="3944"/>
                              <w:gridCol w:w="1219"/>
                              <w:gridCol w:w="2068"/>
                              <w:gridCol w:w="2068"/>
                            </w:tblGrid>
                            <w:tr w:rsidR="00711180" w:rsidRPr="00711180" w14:paraId="2035438E" w14:textId="77777777" w:rsidTr="00A36DE8">
                              <w:trPr>
                                <w:trHeight w:val="1032"/>
                              </w:trPr>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CD275C8" w14:textId="77777777" w:rsidR="00711180" w:rsidRPr="00711180" w:rsidRDefault="00711180" w:rsidP="00711180">
                                  <w:pPr>
                                    <w:rPr>
                                      <w:rFonts w:ascii="Calibri" w:eastAsia="Times New Roman" w:hAnsi="Calibri" w:cs="Calibri"/>
                                      <w:b/>
                                      <w:bCs/>
                                      <w:color w:val="000000"/>
                                      <w:sz w:val="36"/>
                                      <w:szCs w:val="36"/>
                                    </w:rPr>
                                  </w:pPr>
                                  <w:r w:rsidRPr="00711180">
                                    <w:rPr>
                                      <w:rFonts w:ascii="Calibri" w:eastAsia="Times New Roman" w:hAnsi="Calibri" w:cs="Calibri"/>
                                      <w:b/>
                                      <w:bCs/>
                                      <w:color w:val="000000"/>
                                      <w:sz w:val="36"/>
                                      <w:szCs w:val="36"/>
                                    </w:rPr>
                                    <w:t>Childcare costs in England for children in Nursery (per year)</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14:paraId="20FD38E6" w14:textId="77777777" w:rsidR="00711180" w:rsidRPr="00711180" w:rsidRDefault="00711180" w:rsidP="00711180">
                                  <w:pPr>
                                    <w:jc w:val="center"/>
                                    <w:rPr>
                                      <w:rFonts w:ascii="Calibri" w:eastAsia="Times New Roman" w:hAnsi="Calibri" w:cs="Calibri"/>
                                      <w:b/>
                                      <w:bCs/>
                                      <w:color w:val="000000"/>
                                      <w:sz w:val="36"/>
                                      <w:szCs w:val="36"/>
                                    </w:rPr>
                                  </w:pPr>
                                  <w:r w:rsidRPr="00711180">
                                    <w:rPr>
                                      <w:rFonts w:ascii="Calibri" w:eastAsia="Times New Roman" w:hAnsi="Calibri" w:cs="Calibri"/>
                                      <w:b/>
                                      <w:bCs/>
                                      <w:color w:val="000000"/>
                                      <w:sz w:val="36"/>
                                      <w:szCs w:val="36"/>
                                    </w:rPr>
                                    <w:t>Women's Median earnings (per year)</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2D7C9A39" w14:textId="77777777" w:rsidR="00711180" w:rsidRPr="00711180" w:rsidRDefault="00711180" w:rsidP="00711180">
                                  <w:pPr>
                                    <w:jc w:val="center"/>
                                    <w:rPr>
                                      <w:rFonts w:ascii="Calibri" w:eastAsia="Times New Roman" w:hAnsi="Calibri" w:cs="Calibri"/>
                                      <w:b/>
                                      <w:bCs/>
                                      <w:color w:val="000000"/>
                                      <w:sz w:val="36"/>
                                      <w:szCs w:val="36"/>
                                    </w:rPr>
                                  </w:pPr>
                                  <w:r w:rsidRPr="00711180">
                                    <w:rPr>
                                      <w:rFonts w:ascii="Calibri" w:eastAsia="Times New Roman" w:hAnsi="Calibri" w:cs="Calibri"/>
                                      <w:b/>
                                      <w:bCs/>
                                      <w:color w:val="000000"/>
                                      <w:sz w:val="36"/>
                                      <w:szCs w:val="36"/>
                                    </w:rPr>
                                    <w:t xml:space="preserve">% </w:t>
                                  </w:r>
                                  <w:proofErr w:type="gramStart"/>
                                  <w:r w:rsidRPr="00711180">
                                    <w:rPr>
                                      <w:rFonts w:ascii="Calibri" w:eastAsia="Times New Roman" w:hAnsi="Calibri" w:cs="Calibri"/>
                                      <w:b/>
                                      <w:bCs/>
                                      <w:color w:val="000000"/>
                                      <w:sz w:val="36"/>
                                      <w:szCs w:val="36"/>
                                    </w:rPr>
                                    <w:t>of</w:t>
                                  </w:r>
                                  <w:proofErr w:type="gramEnd"/>
                                  <w:r w:rsidRPr="00711180">
                                    <w:rPr>
                                      <w:rFonts w:ascii="Calibri" w:eastAsia="Times New Roman" w:hAnsi="Calibri" w:cs="Calibri"/>
                                      <w:b/>
                                      <w:bCs/>
                                      <w:color w:val="000000"/>
                                      <w:sz w:val="36"/>
                                      <w:szCs w:val="36"/>
                                    </w:rPr>
                                    <w:t xml:space="preserve"> women’s earnings absorbed by childcare</w:t>
                                  </w:r>
                                </w:p>
                              </w:tc>
                            </w:tr>
                            <w:tr w:rsidR="00711180" w:rsidRPr="00711180" w14:paraId="510D6EE3" w14:textId="77777777" w:rsidTr="00A36DE8">
                              <w:trPr>
                                <w:trHeight w:val="324"/>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14:paraId="366D5B51" w14:textId="77777777" w:rsidR="00711180" w:rsidRPr="00711180" w:rsidRDefault="00711180" w:rsidP="00711180">
                                  <w:pPr>
                                    <w:rPr>
                                      <w:rFonts w:ascii="Calibri" w:eastAsia="Times New Roman" w:hAnsi="Calibri" w:cs="Calibri"/>
                                      <w:color w:val="000000"/>
                                      <w:sz w:val="36"/>
                                      <w:szCs w:val="36"/>
                                    </w:rPr>
                                  </w:pPr>
                                  <w:r w:rsidRPr="00711180">
                                    <w:rPr>
                                      <w:rFonts w:ascii="Calibri" w:eastAsia="Times New Roman" w:hAnsi="Calibri" w:cs="Calibri"/>
                                      <w:color w:val="000000"/>
                                      <w:sz w:val="36"/>
                                      <w:szCs w:val="36"/>
                                    </w:rPr>
                                    <w:t>3-4-year-olds (part-time)</w:t>
                                  </w:r>
                                </w:p>
                              </w:tc>
                              <w:tc>
                                <w:tcPr>
                                  <w:tcW w:w="1126" w:type="dxa"/>
                                  <w:tcBorders>
                                    <w:top w:val="nil"/>
                                    <w:left w:val="nil"/>
                                    <w:bottom w:val="single" w:sz="4" w:space="0" w:color="auto"/>
                                    <w:right w:val="single" w:sz="4" w:space="0" w:color="auto"/>
                                  </w:tcBorders>
                                  <w:shd w:val="clear" w:color="auto" w:fill="auto"/>
                                  <w:noWrap/>
                                  <w:vAlign w:val="bottom"/>
                                  <w:hideMark/>
                                </w:tcPr>
                                <w:p w14:paraId="1C550184"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£2,727 </w:t>
                                  </w:r>
                                </w:p>
                              </w:tc>
                              <w:tc>
                                <w:tcPr>
                                  <w:tcW w:w="2068" w:type="dxa"/>
                                  <w:tcBorders>
                                    <w:top w:val="nil"/>
                                    <w:left w:val="nil"/>
                                    <w:bottom w:val="single" w:sz="4" w:space="0" w:color="auto"/>
                                    <w:right w:val="single" w:sz="4" w:space="0" w:color="auto"/>
                                  </w:tcBorders>
                                  <w:shd w:val="clear" w:color="auto" w:fill="auto"/>
                                  <w:noWrap/>
                                  <w:vAlign w:val="bottom"/>
                                  <w:hideMark/>
                                </w:tcPr>
                                <w:p w14:paraId="0427E0E6"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£11,226 </w:t>
                                  </w:r>
                                </w:p>
                              </w:tc>
                              <w:tc>
                                <w:tcPr>
                                  <w:tcW w:w="2068" w:type="dxa"/>
                                  <w:tcBorders>
                                    <w:top w:val="nil"/>
                                    <w:left w:val="nil"/>
                                    <w:bottom w:val="single" w:sz="4" w:space="0" w:color="auto"/>
                                    <w:right w:val="single" w:sz="4" w:space="0" w:color="auto"/>
                                  </w:tcBorders>
                                  <w:shd w:val="clear" w:color="auto" w:fill="auto"/>
                                  <w:noWrap/>
                                  <w:vAlign w:val="bottom"/>
                                  <w:hideMark/>
                                </w:tcPr>
                                <w:p w14:paraId="08EB9706"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24%</w:t>
                                  </w:r>
                                </w:p>
                              </w:tc>
                            </w:tr>
                            <w:tr w:rsidR="00711180" w:rsidRPr="00711180" w14:paraId="73EA34E3" w14:textId="77777777" w:rsidTr="00A36DE8">
                              <w:trPr>
                                <w:trHeight w:val="324"/>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14:paraId="0B63CCAA" w14:textId="77777777" w:rsidR="00711180" w:rsidRPr="00711180" w:rsidRDefault="00711180" w:rsidP="00711180">
                                  <w:pPr>
                                    <w:rPr>
                                      <w:rFonts w:ascii="Calibri" w:eastAsia="Times New Roman" w:hAnsi="Calibri" w:cs="Calibri"/>
                                      <w:color w:val="000000"/>
                                      <w:sz w:val="36"/>
                                      <w:szCs w:val="36"/>
                                    </w:rPr>
                                  </w:pPr>
                                  <w:r w:rsidRPr="00711180">
                                    <w:rPr>
                                      <w:rFonts w:ascii="Calibri" w:eastAsia="Times New Roman" w:hAnsi="Calibri" w:cs="Calibri"/>
                                      <w:color w:val="000000"/>
                                      <w:sz w:val="36"/>
                                      <w:szCs w:val="36"/>
                                    </w:rPr>
                                    <w:t>3-4-year-olds (full-time)</w:t>
                                  </w:r>
                                </w:p>
                              </w:tc>
                              <w:tc>
                                <w:tcPr>
                                  <w:tcW w:w="1126" w:type="dxa"/>
                                  <w:tcBorders>
                                    <w:top w:val="nil"/>
                                    <w:left w:val="nil"/>
                                    <w:bottom w:val="single" w:sz="4" w:space="0" w:color="auto"/>
                                    <w:right w:val="single" w:sz="4" w:space="0" w:color="auto"/>
                                  </w:tcBorders>
                                  <w:shd w:val="clear" w:color="auto" w:fill="auto"/>
                                  <w:noWrap/>
                                  <w:vAlign w:val="bottom"/>
                                  <w:hideMark/>
                                </w:tcPr>
                                <w:p w14:paraId="0EAF5334"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£5,282 </w:t>
                                  </w:r>
                                </w:p>
                              </w:tc>
                              <w:tc>
                                <w:tcPr>
                                  <w:tcW w:w="2068" w:type="dxa"/>
                                  <w:tcBorders>
                                    <w:top w:val="nil"/>
                                    <w:left w:val="nil"/>
                                    <w:bottom w:val="single" w:sz="4" w:space="0" w:color="auto"/>
                                    <w:right w:val="single" w:sz="4" w:space="0" w:color="auto"/>
                                  </w:tcBorders>
                                  <w:shd w:val="clear" w:color="auto" w:fill="auto"/>
                                  <w:noWrap/>
                                  <w:vAlign w:val="bottom"/>
                                  <w:hideMark/>
                                </w:tcPr>
                                <w:p w14:paraId="7717A344"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£28,077 </w:t>
                                  </w:r>
                                </w:p>
                              </w:tc>
                              <w:tc>
                                <w:tcPr>
                                  <w:tcW w:w="2068" w:type="dxa"/>
                                  <w:tcBorders>
                                    <w:top w:val="nil"/>
                                    <w:left w:val="nil"/>
                                    <w:bottom w:val="single" w:sz="4" w:space="0" w:color="auto"/>
                                    <w:right w:val="single" w:sz="4" w:space="0" w:color="auto"/>
                                  </w:tcBorders>
                                  <w:shd w:val="clear" w:color="auto" w:fill="auto"/>
                                  <w:noWrap/>
                                  <w:vAlign w:val="bottom"/>
                                  <w:hideMark/>
                                </w:tcPr>
                                <w:p w14:paraId="60DF5C71"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19%</w:t>
                                  </w:r>
                                </w:p>
                              </w:tc>
                            </w:tr>
                          </w:tbl>
                          <w:p w14:paraId="7AFBE07F" w14:textId="77777777" w:rsidR="00711180" w:rsidRDefault="00711180" w:rsidP="00711180"/>
                          <w:p w14:paraId="2BE0680A" w14:textId="77777777" w:rsidR="00711180" w:rsidRDefault="00711180" w:rsidP="00711180"/>
                          <w:p w14:paraId="5B0423DE" w14:textId="77777777" w:rsidR="00711180" w:rsidRPr="00446AAE" w:rsidRDefault="00711180" w:rsidP="00711180">
                            <w:pPr>
                              <w:shd w:val="clear" w:color="auto" w:fill="D9E2F3" w:themeFill="accent1" w:themeFillTint="33"/>
                              <w:rPr>
                                <w:b/>
                                <w:bCs/>
                                <w:sz w:val="32"/>
                                <w:szCs w:val="32"/>
                              </w:rPr>
                            </w:pPr>
                            <w:r w:rsidRPr="00446AAE">
                              <w:rPr>
                                <w:b/>
                                <w:bCs/>
                                <w:sz w:val="32"/>
                                <w:szCs w:val="32"/>
                              </w:rPr>
                              <w:t>Impact of Covid-19 and closures</w:t>
                            </w:r>
                          </w:p>
                          <w:p w14:paraId="48E0EC7D" w14:textId="77777777" w:rsidR="00711180" w:rsidRDefault="00711180" w:rsidP="00711180"/>
                          <w:p w14:paraId="77DD6660" w14:textId="77777777" w:rsidR="00711180" w:rsidRPr="00711180" w:rsidRDefault="00711180" w:rsidP="00711180">
                            <w:pPr>
                              <w:rPr>
                                <w:sz w:val="36"/>
                                <w:szCs w:val="36"/>
                              </w:rPr>
                            </w:pPr>
                            <w:r w:rsidRPr="00711180">
                              <w:rPr>
                                <w:sz w:val="36"/>
                                <w:szCs w:val="36"/>
                              </w:rPr>
                              <w:t xml:space="preserve">Even before the Covid-19 pandemic, childcare reform was urgently needed. In the period August 2020-March 2021, Ofsted data showed a net loss of 4.4% of childcare providers and a net loss of 1.1% of childcare places in England. This decrease in places was largely driven by childminders leaving the market. There were 64,173 fewer childcare places and 7,566 childcare providers left the sector in March 2021 compared to August 2020. </w:t>
                            </w:r>
                          </w:p>
                          <w:p w14:paraId="20EF5F55" w14:textId="77777777" w:rsidR="00711180" w:rsidRDefault="007111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75013" id="Text Box 5" o:spid="_x0000_s1027" type="#_x0000_t202" style="position:absolute;margin-left:-6.45pt;margin-top:-52.65pt;width:477.15pt;height:80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" fillcolor="white [3201]" strokeweight=".5pt">
                <v:textbox>
                  <w:txbxContent>
                    <w:p w14:paraId="592DB71D" w14:textId="77777777" w:rsidR="00711180" w:rsidRPr="00446AAE" w:rsidRDefault="00711180" w:rsidP="00711180">
                      <w:pPr>
                        <w:shd w:val="clear" w:color="auto" w:fill="D9E2F3" w:themeFill="accent1" w:themeFillTint="33"/>
                        <w:rPr>
                          <w:b/>
                          <w:bCs/>
                          <w:sz w:val="36"/>
                          <w:szCs w:val="36"/>
                        </w:rPr>
                      </w:pPr>
                      <w:r w:rsidRPr="00446AAE">
                        <w:rPr>
                          <w:b/>
                          <w:bCs/>
                          <w:sz w:val="32"/>
                          <w:szCs w:val="32"/>
                        </w:rPr>
                        <w:t>Affordability</w:t>
                      </w:r>
                    </w:p>
                    <w:p w14:paraId="49D6B5B1" w14:textId="77777777" w:rsidR="00711180" w:rsidRPr="00711180" w:rsidRDefault="00711180" w:rsidP="00711180">
                      <w:pPr>
                        <w:rPr>
                          <w:sz w:val="36"/>
                          <w:szCs w:val="36"/>
                        </w:rPr>
                      </w:pPr>
                    </w:p>
                    <w:p w14:paraId="4D051F31" w14:textId="77777777" w:rsidR="00711180" w:rsidRPr="00711180" w:rsidRDefault="00711180" w:rsidP="00711180">
                      <w:pPr>
                        <w:rPr>
                          <w:sz w:val="36"/>
                          <w:szCs w:val="36"/>
                        </w:rPr>
                      </w:pPr>
                      <w:r w:rsidRPr="00711180">
                        <w:rPr>
                          <w:sz w:val="36"/>
                          <w:szCs w:val="36"/>
                        </w:rPr>
                        <w:t>Childcare is more expensive for younger children: part-time and full-time childcare for under 2-year-olds absorbs at least half of women’s median earnings in Great Britain. State support for 3- and 4-year-olds makes a huge difference to affordability but childcare for this age group is still between a fifth and a quarter of women’s salaries.</w:t>
                      </w:r>
                    </w:p>
                    <w:p w14:paraId="588A771C" w14:textId="77777777" w:rsidR="00711180" w:rsidRPr="00711180" w:rsidRDefault="00711180" w:rsidP="00711180">
                      <w:pPr>
                        <w:rPr>
                          <w:sz w:val="36"/>
                          <w:szCs w:val="36"/>
                        </w:rPr>
                      </w:pPr>
                    </w:p>
                    <w:tbl>
                      <w:tblPr>
                        <w:tblW w:w="9226" w:type="dxa"/>
                        <w:tblInd w:w="-5" w:type="dxa"/>
                        <w:tblLook w:val="04A0" w:firstRow="1" w:lastRow="0" w:firstColumn="1" w:lastColumn="0" w:noHBand="0" w:noVBand="1"/>
                      </w:tblPr>
                      <w:tblGrid>
                        <w:gridCol w:w="3798"/>
                        <w:gridCol w:w="1401"/>
                        <w:gridCol w:w="2072"/>
                        <w:gridCol w:w="2072"/>
                      </w:tblGrid>
                      <w:tr w:rsidR="00711180" w:rsidRPr="00711180" w14:paraId="3F8747C4" w14:textId="77777777" w:rsidTr="00A36DE8">
                        <w:trPr>
                          <w:trHeight w:val="1265"/>
                        </w:trPr>
                        <w:tc>
                          <w:tcPr>
                            <w:tcW w:w="50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0864FB" w14:textId="77777777" w:rsidR="00711180" w:rsidRPr="00711180" w:rsidRDefault="00711180" w:rsidP="00711180">
                            <w:pPr>
                              <w:rPr>
                                <w:rFonts w:ascii="Calibri" w:eastAsia="Times New Roman" w:hAnsi="Calibri" w:cs="Calibri"/>
                                <w:b/>
                                <w:bCs/>
                                <w:color w:val="000000"/>
                                <w:sz w:val="36"/>
                                <w:szCs w:val="36"/>
                              </w:rPr>
                            </w:pPr>
                            <w:r w:rsidRPr="00711180">
                              <w:rPr>
                                <w:rFonts w:ascii="Calibri" w:eastAsia="Times New Roman" w:hAnsi="Calibri" w:cs="Calibri"/>
                                <w:b/>
                                <w:bCs/>
                                <w:color w:val="000000"/>
                                <w:sz w:val="36"/>
                                <w:szCs w:val="36"/>
                              </w:rPr>
                              <w:t>Childcare costs in Great Britain for children in Nursery (per year)</w:t>
                            </w:r>
                          </w:p>
                        </w:tc>
                        <w:tc>
                          <w:tcPr>
                            <w:tcW w:w="2072" w:type="dxa"/>
                            <w:tcBorders>
                              <w:top w:val="single" w:sz="4" w:space="0" w:color="auto"/>
                              <w:left w:val="nil"/>
                              <w:bottom w:val="single" w:sz="4" w:space="0" w:color="auto"/>
                              <w:right w:val="single" w:sz="4" w:space="0" w:color="auto"/>
                            </w:tcBorders>
                            <w:shd w:val="clear" w:color="auto" w:fill="auto"/>
                            <w:vAlign w:val="bottom"/>
                            <w:hideMark/>
                          </w:tcPr>
                          <w:p w14:paraId="0416DC09" w14:textId="77777777" w:rsidR="00711180" w:rsidRPr="00711180" w:rsidRDefault="00711180" w:rsidP="00711180">
                            <w:pPr>
                              <w:jc w:val="center"/>
                              <w:rPr>
                                <w:rFonts w:ascii="Calibri" w:eastAsia="Times New Roman" w:hAnsi="Calibri" w:cs="Calibri"/>
                                <w:b/>
                                <w:bCs/>
                                <w:color w:val="000000"/>
                                <w:sz w:val="36"/>
                                <w:szCs w:val="36"/>
                              </w:rPr>
                            </w:pPr>
                            <w:r w:rsidRPr="00711180">
                              <w:rPr>
                                <w:rFonts w:ascii="Calibri" w:eastAsia="Times New Roman" w:hAnsi="Calibri" w:cs="Calibri"/>
                                <w:b/>
                                <w:bCs/>
                                <w:color w:val="000000"/>
                                <w:sz w:val="36"/>
                                <w:szCs w:val="36"/>
                              </w:rPr>
                              <w:t>Women's Median earnings (per year)</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7C03F97E" w14:textId="77777777" w:rsidR="00711180" w:rsidRPr="00711180" w:rsidRDefault="00711180" w:rsidP="00711180">
                            <w:pPr>
                              <w:jc w:val="center"/>
                              <w:rPr>
                                <w:rFonts w:ascii="Calibri" w:eastAsia="Times New Roman" w:hAnsi="Calibri" w:cs="Calibri"/>
                                <w:b/>
                                <w:bCs/>
                                <w:color w:val="000000"/>
                                <w:sz w:val="36"/>
                                <w:szCs w:val="36"/>
                              </w:rPr>
                            </w:pPr>
                            <w:r w:rsidRPr="00711180">
                              <w:rPr>
                                <w:rFonts w:ascii="Calibri" w:eastAsia="Times New Roman" w:hAnsi="Calibri" w:cs="Calibri"/>
                                <w:b/>
                                <w:bCs/>
                                <w:color w:val="000000"/>
                                <w:sz w:val="36"/>
                                <w:szCs w:val="36"/>
                              </w:rPr>
                              <w:t xml:space="preserve">% </w:t>
                            </w:r>
                            <w:proofErr w:type="gramStart"/>
                            <w:r w:rsidRPr="00711180">
                              <w:rPr>
                                <w:rFonts w:ascii="Calibri" w:eastAsia="Times New Roman" w:hAnsi="Calibri" w:cs="Calibri"/>
                                <w:b/>
                                <w:bCs/>
                                <w:color w:val="000000"/>
                                <w:sz w:val="36"/>
                                <w:szCs w:val="36"/>
                              </w:rPr>
                              <w:t>of</w:t>
                            </w:r>
                            <w:proofErr w:type="gramEnd"/>
                            <w:r w:rsidRPr="00711180">
                              <w:rPr>
                                <w:rFonts w:ascii="Calibri" w:eastAsia="Times New Roman" w:hAnsi="Calibri" w:cs="Calibri"/>
                                <w:b/>
                                <w:bCs/>
                                <w:color w:val="000000"/>
                                <w:sz w:val="36"/>
                                <w:szCs w:val="36"/>
                              </w:rPr>
                              <w:t xml:space="preserve"> women’s earnings absorbed by childcare</w:t>
                            </w:r>
                          </w:p>
                        </w:tc>
                      </w:tr>
                      <w:tr w:rsidR="00711180" w:rsidRPr="00711180" w14:paraId="405EE450" w14:textId="77777777" w:rsidTr="00A36DE8">
                        <w:trPr>
                          <w:trHeight w:val="397"/>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43D900BF" w14:textId="77777777" w:rsidR="00711180" w:rsidRPr="00711180" w:rsidRDefault="00711180" w:rsidP="00711180">
                            <w:pPr>
                              <w:rPr>
                                <w:rFonts w:ascii="Calibri" w:eastAsia="Times New Roman" w:hAnsi="Calibri" w:cs="Calibri"/>
                                <w:color w:val="000000"/>
                                <w:sz w:val="36"/>
                                <w:szCs w:val="36"/>
                              </w:rPr>
                            </w:pPr>
                            <w:r w:rsidRPr="00711180">
                              <w:rPr>
                                <w:rFonts w:ascii="Calibri" w:eastAsia="Times New Roman" w:hAnsi="Calibri" w:cs="Calibri"/>
                                <w:color w:val="000000"/>
                                <w:sz w:val="36"/>
                                <w:szCs w:val="36"/>
                              </w:rPr>
                              <w:t>&lt; 2-year-olds (part-time)</w:t>
                            </w:r>
                          </w:p>
                        </w:tc>
                        <w:tc>
                          <w:tcPr>
                            <w:tcW w:w="1284" w:type="dxa"/>
                            <w:tcBorders>
                              <w:top w:val="nil"/>
                              <w:left w:val="nil"/>
                              <w:bottom w:val="single" w:sz="4" w:space="0" w:color="auto"/>
                              <w:right w:val="single" w:sz="4" w:space="0" w:color="auto"/>
                            </w:tcBorders>
                            <w:shd w:val="clear" w:color="auto" w:fill="auto"/>
                            <w:noWrap/>
                            <w:vAlign w:val="bottom"/>
                            <w:hideMark/>
                          </w:tcPr>
                          <w:p w14:paraId="76FE715B"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£7,160 </w:t>
                            </w:r>
                          </w:p>
                        </w:tc>
                        <w:tc>
                          <w:tcPr>
                            <w:tcW w:w="2072" w:type="dxa"/>
                            <w:tcBorders>
                              <w:top w:val="nil"/>
                              <w:left w:val="nil"/>
                              <w:bottom w:val="single" w:sz="4" w:space="0" w:color="auto"/>
                              <w:right w:val="single" w:sz="4" w:space="0" w:color="auto"/>
                            </w:tcBorders>
                            <w:shd w:val="clear" w:color="auto" w:fill="auto"/>
                            <w:noWrap/>
                            <w:vAlign w:val="bottom"/>
                            <w:hideMark/>
                          </w:tcPr>
                          <w:p w14:paraId="1A4FA553"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£11,324 </w:t>
                            </w:r>
                          </w:p>
                        </w:tc>
                        <w:tc>
                          <w:tcPr>
                            <w:tcW w:w="2072" w:type="dxa"/>
                            <w:tcBorders>
                              <w:top w:val="nil"/>
                              <w:left w:val="nil"/>
                              <w:bottom w:val="single" w:sz="4" w:space="0" w:color="auto"/>
                              <w:right w:val="single" w:sz="4" w:space="0" w:color="auto"/>
                            </w:tcBorders>
                            <w:shd w:val="clear" w:color="auto" w:fill="auto"/>
                            <w:noWrap/>
                            <w:vAlign w:val="bottom"/>
                            <w:hideMark/>
                          </w:tcPr>
                          <w:p w14:paraId="7C861EF7"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63%</w:t>
                            </w:r>
                          </w:p>
                        </w:tc>
                      </w:tr>
                      <w:tr w:rsidR="00711180" w:rsidRPr="00711180" w14:paraId="22827149" w14:textId="77777777" w:rsidTr="00A36DE8">
                        <w:trPr>
                          <w:trHeight w:val="397"/>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1369B133" w14:textId="77777777" w:rsidR="00711180" w:rsidRPr="00711180" w:rsidRDefault="00711180" w:rsidP="00711180">
                            <w:pPr>
                              <w:rPr>
                                <w:rFonts w:ascii="Calibri" w:eastAsia="Times New Roman" w:hAnsi="Calibri" w:cs="Calibri"/>
                                <w:color w:val="000000"/>
                                <w:sz w:val="36"/>
                                <w:szCs w:val="36"/>
                              </w:rPr>
                            </w:pPr>
                            <w:r w:rsidRPr="00711180">
                              <w:rPr>
                                <w:rFonts w:ascii="Calibri" w:eastAsia="Times New Roman" w:hAnsi="Calibri" w:cs="Calibri"/>
                                <w:color w:val="000000"/>
                                <w:sz w:val="36"/>
                                <w:szCs w:val="36"/>
                              </w:rPr>
                              <w:t>&lt; 2-year-olds (full-time)</w:t>
                            </w:r>
                          </w:p>
                        </w:tc>
                        <w:tc>
                          <w:tcPr>
                            <w:tcW w:w="1284" w:type="dxa"/>
                            <w:tcBorders>
                              <w:top w:val="nil"/>
                              <w:left w:val="nil"/>
                              <w:bottom w:val="single" w:sz="4" w:space="0" w:color="auto"/>
                              <w:right w:val="single" w:sz="4" w:space="0" w:color="auto"/>
                            </w:tcBorders>
                            <w:shd w:val="clear" w:color="auto" w:fill="auto"/>
                            <w:noWrap/>
                            <w:vAlign w:val="bottom"/>
                            <w:hideMark/>
                          </w:tcPr>
                          <w:p w14:paraId="58BFA6BA"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£13,718 </w:t>
                            </w:r>
                          </w:p>
                        </w:tc>
                        <w:tc>
                          <w:tcPr>
                            <w:tcW w:w="2072" w:type="dxa"/>
                            <w:tcBorders>
                              <w:top w:val="nil"/>
                              <w:left w:val="nil"/>
                              <w:bottom w:val="single" w:sz="4" w:space="0" w:color="auto"/>
                              <w:right w:val="single" w:sz="4" w:space="0" w:color="auto"/>
                            </w:tcBorders>
                            <w:shd w:val="clear" w:color="auto" w:fill="auto"/>
                            <w:noWrap/>
                            <w:vAlign w:val="bottom"/>
                            <w:hideMark/>
                          </w:tcPr>
                          <w:p w14:paraId="4B6C060F"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£28,021 </w:t>
                            </w:r>
                          </w:p>
                        </w:tc>
                        <w:tc>
                          <w:tcPr>
                            <w:tcW w:w="2072" w:type="dxa"/>
                            <w:tcBorders>
                              <w:top w:val="nil"/>
                              <w:left w:val="nil"/>
                              <w:bottom w:val="single" w:sz="4" w:space="0" w:color="auto"/>
                              <w:right w:val="single" w:sz="4" w:space="0" w:color="auto"/>
                            </w:tcBorders>
                            <w:shd w:val="clear" w:color="auto" w:fill="auto"/>
                            <w:noWrap/>
                            <w:vAlign w:val="bottom"/>
                            <w:hideMark/>
                          </w:tcPr>
                          <w:p w14:paraId="0A315B26"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49%</w:t>
                            </w:r>
                          </w:p>
                        </w:tc>
                      </w:tr>
                    </w:tbl>
                    <w:p w14:paraId="0140C501" w14:textId="77777777" w:rsidR="00711180" w:rsidRPr="00711180" w:rsidRDefault="00711180" w:rsidP="00711180">
                      <w:pPr>
                        <w:rPr>
                          <w:b/>
                          <w:bCs/>
                          <w:sz w:val="40"/>
                          <w:szCs w:val="40"/>
                        </w:rPr>
                      </w:pPr>
                    </w:p>
                    <w:tbl>
                      <w:tblPr>
                        <w:tblW w:w="9207" w:type="dxa"/>
                        <w:tblLook w:val="04A0" w:firstRow="1" w:lastRow="0" w:firstColumn="1" w:lastColumn="0" w:noHBand="0" w:noVBand="1"/>
                      </w:tblPr>
                      <w:tblGrid>
                        <w:gridCol w:w="3944"/>
                        <w:gridCol w:w="1219"/>
                        <w:gridCol w:w="2068"/>
                        <w:gridCol w:w="2068"/>
                      </w:tblGrid>
                      <w:tr w:rsidR="00711180" w:rsidRPr="00711180" w14:paraId="2035438E" w14:textId="77777777" w:rsidTr="00A36DE8">
                        <w:trPr>
                          <w:trHeight w:val="1032"/>
                        </w:trPr>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CD275C8" w14:textId="77777777" w:rsidR="00711180" w:rsidRPr="00711180" w:rsidRDefault="00711180" w:rsidP="00711180">
                            <w:pPr>
                              <w:rPr>
                                <w:rFonts w:ascii="Calibri" w:eastAsia="Times New Roman" w:hAnsi="Calibri" w:cs="Calibri"/>
                                <w:b/>
                                <w:bCs/>
                                <w:color w:val="000000"/>
                                <w:sz w:val="36"/>
                                <w:szCs w:val="36"/>
                              </w:rPr>
                            </w:pPr>
                            <w:r w:rsidRPr="00711180">
                              <w:rPr>
                                <w:rFonts w:ascii="Calibri" w:eastAsia="Times New Roman" w:hAnsi="Calibri" w:cs="Calibri"/>
                                <w:b/>
                                <w:bCs/>
                                <w:color w:val="000000"/>
                                <w:sz w:val="36"/>
                                <w:szCs w:val="36"/>
                              </w:rPr>
                              <w:t>Childcare costs in England for children in Nursery (per year)</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14:paraId="20FD38E6" w14:textId="77777777" w:rsidR="00711180" w:rsidRPr="00711180" w:rsidRDefault="00711180" w:rsidP="00711180">
                            <w:pPr>
                              <w:jc w:val="center"/>
                              <w:rPr>
                                <w:rFonts w:ascii="Calibri" w:eastAsia="Times New Roman" w:hAnsi="Calibri" w:cs="Calibri"/>
                                <w:b/>
                                <w:bCs/>
                                <w:color w:val="000000"/>
                                <w:sz w:val="36"/>
                                <w:szCs w:val="36"/>
                              </w:rPr>
                            </w:pPr>
                            <w:r w:rsidRPr="00711180">
                              <w:rPr>
                                <w:rFonts w:ascii="Calibri" w:eastAsia="Times New Roman" w:hAnsi="Calibri" w:cs="Calibri"/>
                                <w:b/>
                                <w:bCs/>
                                <w:color w:val="000000"/>
                                <w:sz w:val="36"/>
                                <w:szCs w:val="36"/>
                              </w:rPr>
                              <w:t>Women's Median earnings (per year)</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2D7C9A39" w14:textId="77777777" w:rsidR="00711180" w:rsidRPr="00711180" w:rsidRDefault="00711180" w:rsidP="00711180">
                            <w:pPr>
                              <w:jc w:val="center"/>
                              <w:rPr>
                                <w:rFonts w:ascii="Calibri" w:eastAsia="Times New Roman" w:hAnsi="Calibri" w:cs="Calibri"/>
                                <w:b/>
                                <w:bCs/>
                                <w:color w:val="000000"/>
                                <w:sz w:val="36"/>
                                <w:szCs w:val="36"/>
                              </w:rPr>
                            </w:pPr>
                            <w:r w:rsidRPr="00711180">
                              <w:rPr>
                                <w:rFonts w:ascii="Calibri" w:eastAsia="Times New Roman" w:hAnsi="Calibri" w:cs="Calibri"/>
                                <w:b/>
                                <w:bCs/>
                                <w:color w:val="000000"/>
                                <w:sz w:val="36"/>
                                <w:szCs w:val="36"/>
                              </w:rPr>
                              <w:t xml:space="preserve">% </w:t>
                            </w:r>
                            <w:proofErr w:type="gramStart"/>
                            <w:r w:rsidRPr="00711180">
                              <w:rPr>
                                <w:rFonts w:ascii="Calibri" w:eastAsia="Times New Roman" w:hAnsi="Calibri" w:cs="Calibri"/>
                                <w:b/>
                                <w:bCs/>
                                <w:color w:val="000000"/>
                                <w:sz w:val="36"/>
                                <w:szCs w:val="36"/>
                              </w:rPr>
                              <w:t>of</w:t>
                            </w:r>
                            <w:proofErr w:type="gramEnd"/>
                            <w:r w:rsidRPr="00711180">
                              <w:rPr>
                                <w:rFonts w:ascii="Calibri" w:eastAsia="Times New Roman" w:hAnsi="Calibri" w:cs="Calibri"/>
                                <w:b/>
                                <w:bCs/>
                                <w:color w:val="000000"/>
                                <w:sz w:val="36"/>
                                <w:szCs w:val="36"/>
                              </w:rPr>
                              <w:t xml:space="preserve"> women’s earnings absorbed by childcare</w:t>
                            </w:r>
                          </w:p>
                        </w:tc>
                      </w:tr>
                      <w:tr w:rsidR="00711180" w:rsidRPr="00711180" w14:paraId="510D6EE3" w14:textId="77777777" w:rsidTr="00A36DE8">
                        <w:trPr>
                          <w:trHeight w:val="324"/>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14:paraId="366D5B51" w14:textId="77777777" w:rsidR="00711180" w:rsidRPr="00711180" w:rsidRDefault="00711180" w:rsidP="00711180">
                            <w:pPr>
                              <w:rPr>
                                <w:rFonts w:ascii="Calibri" w:eastAsia="Times New Roman" w:hAnsi="Calibri" w:cs="Calibri"/>
                                <w:color w:val="000000"/>
                                <w:sz w:val="36"/>
                                <w:szCs w:val="36"/>
                              </w:rPr>
                            </w:pPr>
                            <w:r w:rsidRPr="00711180">
                              <w:rPr>
                                <w:rFonts w:ascii="Calibri" w:eastAsia="Times New Roman" w:hAnsi="Calibri" w:cs="Calibri"/>
                                <w:color w:val="000000"/>
                                <w:sz w:val="36"/>
                                <w:szCs w:val="36"/>
                              </w:rPr>
                              <w:t>3-4-year-olds (part-time)</w:t>
                            </w:r>
                          </w:p>
                        </w:tc>
                        <w:tc>
                          <w:tcPr>
                            <w:tcW w:w="1126" w:type="dxa"/>
                            <w:tcBorders>
                              <w:top w:val="nil"/>
                              <w:left w:val="nil"/>
                              <w:bottom w:val="single" w:sz="4" w:space="0" w:color="auto"/>
                              <w:right w:val="single" w:sz="4" w:space="0" w:color="auto"/>
                            </w:tcBorders>
                            <w:shd w:val="clear" w:color="auto" w:fill="auto"/>
                            <w:noWrap/>
                            <w:vAlign w:val="bottom"/>
                            <w:hideMark/>
                          </w:tcPr>
                          <w:p w14:paraId="1C550184"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£2,727 </w:t>
                            </w:r>
                          </w:p>
                        </w:tc>
                        <w:tc>
                          <w:tcPr>
                            <w:tcW w:w="2068" w:type="dxa"/>
                            <w:tcBorders>
                              <w:top w:val="nil"/>
                              <w:left w:val="nil"/>
                              <w:bottom w:val="single" w:sz="4" w:space="0" w:color="auto"/>
                              <w:right w:val="single" w:sz="4" w:space="0" w:color="auto"/>
                            </w:tcBorders>
                            <w:shd w:val="clear" w:color="auto" w:fill="auto"/>
                            <w:noWrap/>
                            <w:vAlign w:val="bottom"/>
                            <w:hideMark/>
                          </w:tcPr>
                          <w:p w14:paraId="0427E0E6"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£11,226 </w:t>
                            </w:r>
                          </w:p>
                        </w:tc>
                        <w:tc>
                          <w:tcPr>
                            <w:tcW w:w="2068" w:type="dxa"/>
                            <w:tcBorders>
                              <w:top w:val="nil"/>
                              <w:left w:val="nil"/>
                              <w:bottom w:val="single" w:sz="4" w:space="0" w:color="auto"/>
                              <w:right w:val="single" w:sz="4" w:space="0" w:color="auto"/>
                            </w:tcBorders>
                            <w:shd w:val="clear" w:color="auto" w:fill="auto"/>
                            <w:noWrap/>
                            <w:vAlign w:val="bottom"/>
                            <w:hideMark/>
                          </w:tcPr>
                          <w:p w14:paraId="08EB9706"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24%</w:t>
                            </w:r>
                          </w:p>
                        </w:tc>
                      </w:tr>
                      <w:tr w:rsidR="00711180" w:rsidRPr="00711180" w14:paraId="73EA34E3" w14:textId="77777777" w:rsidTr="00A36DE8">
                        <w:trPr>
                          <w:trHeight w:val="324"/>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14:paraId="0B63CCAA" w14:textId="77777777" w:rsidR="00711180" w:rsidRPr="00711180" w:rsidRDefault="00711180" w:rsidP="00711180">
                            <w:pPr>
                              <w:rPr>
                                <w:rFonts w:ascii="Calibri" w:eastAsia="Times New Roman" w:hAnsi="Calibri" w:cs="Calibri"/>
                                <w:color w:val="000000"/>
                                <w:sz w:val="36"/>
                                <w:szCs w:val="36"/>
                              </w:rPr>
                            </w:pPr>
                            <w:r w:rsidRPr="00711180">
                              <w:rPr>
                                <w:rFonts w:ascii="Calibri" w:eastAsia="Times New Roman" w:hAnsi="Calibri" w:cs="Calibri"/>
                                <w:color w:val="000000"/>
                                <w:sz w:val="36"/>
                                <w:szCs w:val="36"/>
                              </w:rPr>
                              <w:t>3-4-year-olds (full-time)</w:t>
                            </w:r>
                          </w:p>
                        </w:tc>
                        <w:tc>
                          <w:tcPr>
                            <w:tcW w:w="1126" w:type="dxa"/>
                            <w:tcBorders>
                              <w:top w:val="nil"/>
                              <w:left w:val="nil"/>
                              <w:bottom w:val="single" w:sz="4" w:space="0" w:color="auto"/>
                              <w:right w:val="single" w:sz="4" w:space="0" w:color="auto"/>
                            </w:tcBorders>
                            <w:shd w:val="clear" w:color="auto" w:fill="auto"/>
                            <w:noWrap/>
                            <w:vAlign w:val="bottom"/>
                            <w:hideMark/>
                          </w:tcPr>
                          <w:p w14:paraId="0EAF5334"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£5,282 </w:t>
                            </w:r>
                          </w:p>
                        </w:tc>
                        <w:tc>
                          <w:tcPr>
                            <w:tcW w:w="2068" w:type="dxa"/>
                            <w:tcBorders>
                              <w:top w:val="nil"/>
                              <w:left w:val="nil"/>
                              <w:bottom w:val="single" w:sz="4" w:space="0" w:color="auto"/>
                              <w:right w:val="single" w:sz="4" w:space="0" w:color="auto"/>
                            </w:tcBorders>
                            <w:shd w:val="clear" w:color="auto" w:fill="auto"/>
                            <w:noWrap/>
                            <w:vAlign w:val="bottom"/>
                            <w:hideMark/>
                          </w:tcPr>
                          <w:p w14:paraId="7717A344"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 xml:space="preserve">£28,077 </w:t>
                            </w:r>
                          </w:p>
                        </w:tc>
                        <w:tc>
                          <w:tcPr>
                            <w:tcW w:w="2068" w:type="dxa"/>
                            <w:tcBorders>
                              <w:top w:val="nil"/>
                              <w:left w:val="nil"/>
                              <w:bottom w:val="single" w:sz="4" w:space="0" w:color="auto"/>
                              <w:right w:val="single" w:sz="4" w:space="0" w:color="auto"/>
                            </w:tcBorders>
                            <w:shd w:val="clear" w:color="auto" w:fill="auto"/>
                            <w:noWrap/>
                            <w:vAlign w:val="bottom"/>
                            <w:hideMark/>
                          </w:tcPr>
                          <w:p w14:paraId="60DF5C71" w14:textId="77777777" w:rsidR="00711180" w:rsidRPr="00711180" w:rsidRDefault="00711180" w:rsidP="00711180">
                            <w:pPr>
                              <w:jc w:val="center"/>
                              <w:rPr>
                                <w:rFonts w:ascii="Calibri" w:eastAsia="Times New Roman" w:hAnsi="Calibri" w:cs="Calibri"/>
                                <w:color w:val="000000"/>
                                <w:sz w:val="36"/>
                                <w:szCs w:val="36"/>
                              </w:rPr>
                            </w:pPr>
                            <w:r w:rsidRPr="00711180">
                              <w:rPr>
                                <w:rFonts w:ascii="Calibri" w:eastAsia="Times New Roman" w:hAnsi="Calibri" w:cs="Calibri"/>
                                <w:color w:val="000000"/>
                                <w:sz w:val="36"/>
                                <w:szCs w:val="36"/>
                              </w:rPr>
                              <w:t>19%</w:t>
                            </w:r>
                          </w:p>
                        </w:tc>
                      </w:tr>
                    </w:tbl>
                    <w:p w14:paraId="7AFBE07F" w14:textId="77777777" w:rsidR="00711180" w:rsidRDefault="00711180" w:rsidP="00711180"/>
                    <w:p w14:paraId="2BE0680A" w14:textId="77777777" w:rsidR="00711180" w:rsidRDefault="00711180" w:rsidP="00711180"/>
                    <w:p w14:paraId="5B0423DE" w14:textId="77777777" w:rsidR="00711180" w:rsidRPr="00446AAE" w:rsidRDefault="00711180" w:rsidP="00711180">
                      <w:pPr>
                        <w:shd w:val="clear" w:color="auto" w:fill="D9E2F3" w:themeFill="accent1" w:themeFillTint="33"/>
                        <w:rPr>
                          <w:b/>
                          <w:bCs/>
                          <w:sz w:val="32"/>
                          <w:szCs w:val="32"/>
                        </w:rPr>
                      </w:pPr>
                      <w:r w:rsidRPr="00446AAE">
                        <w:rPr>
                          <w:b/>
                          <w:bCs/>
                          <w:sz w:val="32"/>
                          <w:szCs w:val="32"/>
                        </w:rPr>
                        <w:t>Impact of Covid-19 and closures</w:t>
                      </w:r>
                    </w:p>
                    <w:p w14:paraId="48E0EC7D" w14:textId="77777777" w:rsidR="00711180" w:rsidRDefault="00711180" w:rsidP="00711180"/>
                    <w:p w14:paraId="77DD6660" w14:textId="77777777" w:rsidR="00711180" w:rsidRPr="00711180" w:rsidRDefault="00711180" w:rsidP="00711180">
                      <w:pPr>
                        <w:rPr>
                          <w:sz w:val="36"/>
                          <w:szCs w:val="36"/>
                        </w:rPr>
                      </w:pPr>
                      <w:r w:rsidRPr="00711180">
                        <w:rPr>
                          <w:sz w:val="36"/>
                          <w:szCs w:val="36"/>
                        </w:rPr>
                        <w:t xml:space="preserve">Even before the Covid-19 pandemic, childcare reform was urgently needed. In the period August 2020-March 2021, Ofsted data showed a net loss of 4.4% of childcare providers and a net loss of 1.1% of childcare places in England. This decrease in places was largely driven by childminders leaving the market. There were 64,173 fewer childcare places and 7,566 childcare providers left the sector in March 2021 compared to August 2020. </w:t>
                      </w:r>
                    </w:p>
                    <w:p w14:paraId="20EF5F55" w14:textId="77777777" w:rsidR="00711180" w:rsidRDefault="00711180"/>
                  </w:txbxContent>
                </v:textbox>
              </v:shape>
            </w:pict>
          </mc:Fallback>
        </mc:AlternateContent>
      </w:r>
      <w:r>
        <w:rPr>
          <w:b/>
          <w:bCs/>
          <w:sz w:val="40"/>
          <w:szCs w:val="40"/>
          <w:u w:val="single"/>
        </w:rPr>
        <w:br w:type="page"/>
      </w:r>
    </w:p>
    <w:p w14:paraId="22E907DC" w14:textId="213DC82E" w:rsidR="005D2D9D" w:rsidRPr="0006280B" w:rsidRDefault="005D2D9D" w:rsidP="005D2D9D">
      <w:pPr>
        <w:rPr>
          <w:b/>
          <w:bCs/>
          <w:i/>
          <w:iCs/>
          <w:color w:val="7030A0"/>
          <w:sz w:val="36"/>
          <w:szCs w:val="36"/>
        </w:rPr>
      </w:pPr>
      <w:r w:rsidRPr="0006280B">
        <w:rPr>
          <w:b/>
          <w:bCs/>
          <w:i/>
          <w:iCs/>
          <w:color w:val="7030A0"/>
          <w:sz w:val="36"/>
          <w:szCs w:val="36"/>
        </w:rPr>
        <w:lastRenderedPageBreak/>
        <w:t>Introduction</w:t>
      </w:r>
    </w:p>
    <w:p w14:paraId="7D9438EC" w14:textId="3A58AA8C" w:rsidR="005D2D9D" w:rsidRPr="0006280B" w:rsidRDefault="005D2D9D" w:rsidP="005D2D9D">
      <w:pPr>
        <w:rPr>
          <w:sz w:val="36"/>
          <w:szCs w:val="36"/>
        </w:rPr>
      </w:pPr>
    </w:p>
    <w:p w14:paraId="76939D97" w14:textId="7E8DE418" w:rsidR="005D2D9D" w:rsidRPr="0006280B" w:rsidRDefault="006E46D3" w:rsidP="006E46D3">
      <w:pPr>
        <w:rPr>
          <w:sz w:val="36"/>
          <w:szCs w:val="36"/>
        </w:rPr>
      </w:pPr>
      <w:r w:rsidRPr="0006280B">
        <w:rPr>
          <w:sz w:val="36"/>
          <w:szCs w:val="36"/>
        </w:rPr>
        <w:t>Establishment of a professional, high-quality childcare system is an essential part of a caring economy. Such a system helps to develop children’s social, emotional and cognitive skills, and allows parents to take up or remain in paid employment, or undertake training or other activities, such as care for other relatives, or volunteering in the community, knowing their child is safe and well looked after. It also reduces social inequalities by helping disadvantaged children access high-quality support, as well as providing social networks and parenting support for their parents.</w:t>
      </w:r>
      <w:r w:rsidRPr="0006280B">
        <w:rPr>
          <w:rStyle w:val="FootnoteReference"/>
          <w:sz w:val="36"/>
          <w:szCs w:val="36"/>
        </w:rPr>
        <w:footnoteReference w:id="1"/>
      </w:r>
      <w:r w:rsidRPr="0006280B">
        <w:rPr>
          <w:sz w:val="36"/>
          <w:szCs w:val="36"/>
        </w:rPr>
        <w:t xml:space="preserve"> </w:t>
      </w:r>
      <w:r w:rsidR="00227E08" w:rsidRPr="0006280B">
        <w:rPr>
          <w:sz w:val="36"/>
          <w:szCs w:val="36"/>
        </w:rPr>
        <w:t>Accessible childcare</w:t>
      </w:r>
      <w:r w:rsidR="005D2D9D" w:rsidRPr="0006280B">
        <w:rPr>
          <w:sz w:val="36"/>
          <w:szCs w:val="36"/>
        </w:rPr>
        <w:t xml:space="preserve"> can </w:t>
      </w:r>
      <w:r w:rsidRPr="0006280B">
        <w:rPr>
          <w:sz w:val="36"/>
          <w:szCs w:val="36"/>
        </w:rPr>
        <w:t xml:space="preserve">also </w:t>
      </w:r>
      <w:r w:rsidR="005D2D9D" w:rsidRPr="0006280B">
        <w:rPr>
          <w:sz w:val="36"/>
          <w:szCs w:val="36"/>
        </w:rPr>
        <w:t xml:space="preserve">go a long way to removing </w:t>
      </w:r>
      <w:r w:rsidR="00227E08" w:rsidRPr="0006280B">
        <w:rPr>
          <w:sz w:val="36"/>
          <w:szCs w:val="36"/>
        </w:rPr>
        <w:t xml:space="preserve">the </w:t>
      </w:r>
      <w:r w:rsidR="005D2D9D" w:rsidRPr="0006280B">
        <w:rPr>
          <w:sz w:val="36"/>
          <w:szCs w:val="36"/>
        </w:rPr>
        <w:t xml:space="preserve">barriers to employment for women, who are disproportionately responsible for unpaid care. </w:t>
      </w:r>
      <w:r w:rsidR="00835041" w:rsidRPr="0006280B">
        <w:rPr>
          <w:sz w:val="36"/>
          <w:szCs w:val="36"/>
        </w:rPr>
        <w:t>I</w:t>
      </w:r>
      <w:r w:rsidR="007A6669" w:rsidRPr="0006280B">
        <w:rPr>
          <w:sz w:val="36"/>
          <w:szCs w:val="36"/>
        </w:rPr>
        <w:t>nvesting in high-quality childcare</w:t>
      </w:r>
      <w:r w:rsidR="00835041" w:rsidRPr="0006280B">
        <w:rPr>
          <w:sz w:val="36"/>
          <w:szCs w:val="36"/>
        </w:rPr>
        <w:t xml:space="preserve"> would also create</w:t>
      </w:r>
      <w:r w:rsidR="005D2D9D" w:rsidRPr="0006280B">
        <w:rPr>
          <w:sz w:val="36"/>
          <w:szCs w:val="36"/>
        </w:rPr>
        <w:t xml:space="preserve"> jobs in a sector that exists in every town and city across the country, which also largely employs women. </w:t>
      </w:r>
    </w:p>
    <w:p w14:paraId="752209AA" w14:textId="35D9A87C" w:rsidR="00227E08" w:rsidRPr="0006280B" w:rsidRDefault="00227E08" w:rsidP="005D2D9D">
      <w:pPr>
        <w:rPr>
          <w:sz w:val="36"/>
          <w:szCs w:val="36"/>
        </w:rPr>
      </w:pPr>
    </w:p>
    <w:p w14:paraId="7A215BE9" w14:textId="15E9C01E" w:rsidR="00227E08" w:rsidRPr="0006280B" w:rsidRDefault="00227E08" w:rsidP="005D2D9D">
      <w:pPr>
        <w:rPr>
          <w:sz w:val="36"/>
          <w:szCs w:val="36"/>
        </w:rPr>
      </w:pPr>
      <w:r w:rsidRPr="0006280B">
        <w:rPr>
          <w:sz w:val="36"/>
          <w:szCs w:val="36"/>
        </w:rPr>
        <w:t xml:space="preserve">However, </w:t>
      </w:r>
      <w:r w:rsidR="006E46D3" w:rsidRPr="0006280B">
        <w:rPr>
          <w:sz w:val="36"/>
          <w:szCs w:val="36"/>
        </w:rPr>
        <w:t>the</w:t>
      </w:r>
      <w:r w:rsidR="00E43EDF" w:rsidRPr="0006280B">
        <w:rPr>
          <w:sz w:val="36"/>
          <w:szCs w:val="36"/>
        </w:rPr>
        <w:t xml:space="preserve"> current </w:t>
      </w:r>
      <w:r w:rsidRPr="0006280B">
        <w:rPr>
          <w:sz w:val="36"/>
          <w:szCs w:val="36"/>
        </w:rPr>
        <w:t xml:space="preserve">underfunded childcare sector does not allow for these benefits to be fully realised. The coronavirus pandemic created further strain on an already weak and </w:t>
      </w:r>
      <w:r w:rsidR="00835041" w:rsidRPr="0006280B">
        <w:rPr>
          <w:sz w:val="36"/>
          <w:szCs w:val="36"/>
        </w:rPr>
        <w:t xml:space="preserve">overly complex </w:t>
      </w:r>
      <w:r w:rsidRPr="0006280B">
        <w:rPr>
          <w:sz w:val="36"/>
          <w:szCs w:val="36"/>
        </w:rPr>
        <w:t xml:space="preserve">area of social infrastructure, which was already failing to meet the needs of </w:t>
      </w:r>
      <w:r w:rsidR="00E43EDF" w:rsidRPr="0006280B">
        <w:rPr>
          <w:sz w:val="36"/>
          <w:szCs w:val="36"/>
        </w:rPr>
        <w:t xml:space="preserve">children, </w:t>
      </w:r>
      <w:r w:rsidRPr="0006280B">
        <w:rPr>
          <w:sz w:val="36"/>
          <w:szCs w:val="36"/>
        </w:rPr>
        <w:t>parents</w:t>
      </w:r>
      <w:r w:rsidR="00B43EBE" w:rsidRPr="0006280B">
        <w:rPr>
          <w:sz w:val="36"/>
          <w:szCs w:val="36"/>
        </w:rPr>
        <w:t>,</w:t>
      </w:r>
      <w:r w:rsidRPr="0006280B">
        <w:rPr>
          <w:sz w:val="36"/>
          <w:szCs w:val="36"/>
        </w:rPr>
        <w:t xml:space="preserve"> and the economy. Even going into the pandemic, childcare costs were more expensive in the United Kingdom than in any other developed country</w:t>
      </w:r>
      <w:r w:rsidR="006E46D3" w:rsidRPr="0006280B">
        <w:rPr>
          <w:sz w:val="36"/>
          <w:szCs w:val="36"/>
        </w:rPr>
        <w:t xml:space="preserve">, according </w:t>
      </w:r>
      <w:r w:rsidR="00AD3CDC" w:rsidRPr="0006280B">
        <w:rPr>
          <w:sz w:val="36"/>
          <w:szCs w:val="36"/>
        </w:rPr>
        <w:t xml:space="preserve">to figures reported in the 2020 Organisation for Economic Co-operation and </w:t>
      </w:r>
      <w:r w:rsidR="00AD3CDC" w:rsidRPr="0006280B">
        <w:rPr>
          <w:sz w:val="36"/>
          <w:szCs w:val="36"/>
        </w:rPr>
        <w:lastRenderedPageBreak/>
        <w:t xml:space="preserve">Development </w:t>
      </w:r>
      <w:r w:rsidR="000605CE" w:rsidRPr="0006280B">
        <w:rPr>
          <w:sz w:val="36"/>
          <w:szCs w:val="36"/>
        </w:rPr>
        <w:t xml:space="preserve">(OECD) </w:t>
      </w:r>
      <w:r w:rsidR="00AD3CDC" w:rsidRPr="0006280B">
        <w:rPr>
          <w:sz w:val="36"/>
          <w:szCs w:val="36"/>
        </w:rPr>
        <w:t>briefing</w:t>
      </w:r>
      <w:r w:rsidR="00AD3CDC" w:rsidRPr="0006280B">
        <w:rPr>
          <w:rStyle w:val="FootnoteReference"/>
          <w:sz w:val="36"/>
          <w:szCs w:val="36"/>
        </w:rPr>
        <w:footnoteReference w:id="2"/>
      </w:r>
      <w:r w:rsidRPr="0006280B">
        <w:rPr>
          <w:sz w:val="36"/>
          <w:szCs w:val="36"/>
        </w:rPr>
        <w:t xml:space="preserve">. The childcare sector was already grappling with issues </w:t>
      </w:r>
      <w:r w:rsidR="00DC221B" w:rsidRPr="0006280B">
        <w:rPr>
          <w:sz w:val="36"/>
          <w:szCs w:val="36"/>
        </w:rPr>
        <w:t xml:space="preserve">of </w:t>
      </w:r>
      <w:r w:rsidRPr="0006280B">
        <w:rPr>
          <w:sz w:val="36"/>
          <w:szCs w:val="36"/>
        </w:rPr>
        <w:t>low pay, insufficient training, high staff turnover</w:t>
      </w:r>
      <w:r w:rsidR="00DC221B" w:rsidRPr="0006280B">
        <w:rPr>
          <w:sz w:val="36"/>
          <w:szCs w:val="36"/>
        </w:rPr>
        <w:t xml:space="preserve"> and underfunding of subsidised hours</w:t>
      </w:r>
      <w:r w:rsidRPr="0006280B">
        <w:rPr>
          <w:sz w:val="36"/>
          <w:szCs w:val="36"/>
        </w:rPr>
        <w:t xml:space="preserve">. The pandemic </w:t>
      </w:r>
      <w:r w:rsidR="00DC221B" w:rsidRPr="0006280B">
        <w:rPr>
          <w:sz w:val="36"/>
          <w:szCs w:val="36"/>
        </w:rPr>
        <w:t xml:space="preserve">has exacerbated </w:t>
      </w:r>
      <w:r w:rsidRPr="0006280B">
        <w:rPr>
          <w:sz w:val="36"/>
          <w:szCs w:val="36"/>
        </w:rPr>
        <w:t xml:space="preserve">these issues. </w:t>
      </w:r>
    </w:p>
    <w:p w14:paraId="373048A1" w14:textId="525F1836" w:rsidR="00227E08" w:rsidRPr="0006280B" w:rsidRDefault="00227E08" w:rsidP="005D2D9D">
      <w:pPr>
        <w:rPr>
          <w:sz w:val="36"/>
          <w:szCs w:val="36"/>
        </w:rPr>
      </w:pPr>
    </w:p>
    <w:p w14:paraId="2DBCCDA8" w14:textId="68D16F7B" w:rsidR="00415CC5" w:rsidRPr="0006280B" w:rsidRDefault="00227E08" w:rsidP="00481FB1">
      <w:pPr>
        <w:rPr>
          <w:sz w:val="36"/>
          <w:szCs w:val="36"/>
        </w:rPr>
      </w:pPr>
      <w:r w:rsidRPr="0006280B">
        <w:rPr>
          <w:sz w:val="36"/>
          <w:szCs w:val="36"/>
        </w:rPr>
        <w:t xml:space="preserve">This briefing summarises some of the issues around access to childcare in Great Britain, namely how much childcare is available and how affordable it is, as well as analysing the impact of the coronavirus pandemic on the sector. Please note that </w:t>
      </w:r>
      <w:proofErr w:type="gramStart"/>
      <w:r w:rsidRPr="0006280B">
        <w:rPr>
          <w:sz w:val="36"/>
          <w:szCs w:val="36"/>
        </w:rPr>
        <w:t xml:space="preserve">this briefing </w:t>
      </w:r>
      <w:r w:rsidR="00AD3CDC" w:rsidRPr="0006280B">
        <w:rPr>
          <w:sz w:val="36"/>
          <w:szCs w:val="36"/>
        </w:rPr>
        <w:t>analyses</w:t>
      </w:r>
      <w:proofErr w:type="gramEnd"/>
      <w:r w:rsidRPr="0006280B">
        <w:rPr>
          <w:sz w:val="36"/>
          <w:szCs w:val="36"/>
        </w:rPr>
        <w:t xml:space="preserve"> childcare in Great Britain (England, </w:t>
      </w:r>
      <w:r w:rsidR="00B43EBE" w:rsidRPr="0006280B">
        <w:rPr>
          <w:sz w:val="36"/>
          <w:szCs w:val="36"/>
        </w:rPr>
        <w:t>Scotland,</w:t>
      </w:r>
      <w:r w:rsidRPr="0006280B">
        <w:rPr>
          <w:sz w:val="36"/>
          <w:szCs w:val="36"/>
        </w:rPr>
        <w:t xml:space="preserve"> and Wales)</w:t>
      </w:r>
      <w:r w:rsidR="009E6D8C" w:rsidRPr="0006280B">
        <w:rPr>
          <w:sz w:val="36"/>
          <w:szCs w:val="36"/>
        </w:rPr>
        <w:t xml:space="preserve">. Northern Ireland is not </w:t>
      </w:r>
      <w:r w:rsidR="00AD3CDC" w:rsidRPr="0006280B">
        <w:rPr>
          <w:sz w:val="36"/>
          <w:szCs w:val="36"/>
        </w:rPr>
        <w:t>analysed in the same way</w:t>
      </w:r>
      <w:r w:rsidR="009E6D8C" w:rsidRPr="0006280B">
        <w:rPr>
          <w:sz w:val="36"/>
          <w:szCs w:val="36"/>
        </w:rPr>
        <w:t xml:space="preserve"> because the childcare funding system is very different, and this makes it difficult to draw direct comparisons. In this briefing, childcare includes early education</w:t>
      </w:r>
      <w:r w:rsidR="00835041" w:rsidRPr="0006280B">
        <w:rPr>
          <w:sz w:val="36"/>
          <w:szCs w:val="36"/>
        </w:rPr>
        <w:t xml:space="preserve">, from birth to school age. </w:t>
      </w:r>
    </w:p>
    <w:p w14:paraId="248FD524" w14:textId="3CF08757" w:rsidR="003F160C" w:rsidRPr="0006280B" w:rsidRDefault="003F160C" w:rsidP="005D2D9D">
      <w:pPr>
        <w:rPr>
          <w:i/>
          <w:iCs/>
          <w:sz w:val="36"/>
          <w:szCs w:val="36"/>
          <w:u w:val="single"/>
        </w:rPr>
      </w:pPr>
    </w:p>
    <w:p w14:paraId="7284F676" w14:textId="3D8E116D" w:rsidR="003F160C" w:rsidRPr="0006280B" w:rsidRDefault="003F160C" w:rsidP="005D2D9D">
      <w:pPr>
        <w:rPr>
          <w:b/>
          <w:bCs/>
          <w:i/>
          <w:iCs/>
          <w:sz w:val="36"/>
          <w:szCs w:val="36"/>
        </w:rPr>
      </w:pPr>
      <w:r w:rsidRPr="0006280B">
        <w:rPr>
          <w:b/>
          <w:bCs/>
          <w:i/>
          <w:iCs/>
          <w:sz w:val="36"/>
          <w:szCs w:val="36"/>
        </w:rPr>
        <w:t>What are the main issues relating to access to childcare?</w:t>
      </w:r>
    </w:p>
    <w:p w14:paraId="0E3F59E4" w14:textId="2F684AC2" w:rsidR="00415CC5" w:rsidRPr="0006280B" w:rsidRDefault="00415CC5" w:rsidP="005D2D9D">
      <w:pPr>
        <w:rPr>
          <w:sz w:val="36"/>
          <w:szCs w:val="36"/>
          <w:u w:val="single"/>
        </w:rPr>
      </w:pPr>
    </w:p>
    <w:p w14:paraId="3BCBECD9" w14:textId="20412B61" w:rsidR="00415CC5" w:rsidRPr="0006280B" w:rsidRDefault="00415CC5" w:rsidP="00415CC5">
      <w:pPr>
        <w:rPr>
          <w:b/>
          <w:bCs/>
          <w:i/>
          <w:iCs/>
          <w:color w:val="7030A0"/>
          <w:sz w:val="36"/>
          <w:szCs w:val="36"/>
        </w:rPr>
      </w:pPr>
      <w:r w:rsidRPr="0006280B">
        <w:rPr>
          <w:b/>
          <w:bCs/>
          <w:i/>
          <w:iCs/>
          <w:color w:val="7030A0"/>
          <w:sz w:val="36"/>
          <w:szCs w:val="36"/>
        </w:rPr>
        <w:t>Availability</w:t>
      </w:r>
    </w:p>
    <w:p w14:paraId="4431E5E5" w14:textId="77777777" w:rsidR="00415CC5" w:rsidRPr="0006280B" w:rsidRDefault="00415CC5" w:rsidP="00415CC5">
      <w:pPr>
        <w:rPr>
          <w:sz w:val="36"/>
          <w:szCs w:val="36"/>
        </w:rPr>
      </w:pPr>
    </w:p>
    <w:p w14:paraId="663E2C14" w14:textId="553C67ED" w:rsidR="001823CB" w:rsidRPr="0006280B" w:rsidRDefault="00415CC5" w:rsidP="000E30C2">
      <w:pPr>
        <w:rPr>
          <w:sz w:val="36"/>
          <w:szCs w:val="36"/>
        </w:rPr>
      </w:pPr>
      <w:r w:rsidRPr="0006280B">
        <w:rPr>
          <w:sz w:val="36"/>
          <w:szCs w:val="36"/>
        </w:rPr>
        <w:t xml:space="preserve">Across Great Britain, childcare provision is far from </w:t>
      </w:r>
      <w:r w:rsidR="008D25BF" w:rsidRPr="0006280B">
        <w:rPr>
          <w:sz w:val="36"/>
          <w:szCs w:val="36"/>
        </w:rPr>
        <w:t>universal,</w:t>
      </w:r>
      <w:r w:rsidRPr="0006280B">
        <w:rPr>
          <w:sz w:val="36"/>
          <w:szCs w:val="36"/>
        </w:rPr>
        <w:t xml:space="preserve"> and </w:t>
      </w:r>
      <w:r w:rsidR="00DC221B" w:rsidRPr="0006280B">
        <w:rPr>
          <w:sz w:val="36"/>
          <w:szCs w:val="36"/>
        </w:rPr>
        <w:t xml:space="preserve">availability </w:t>
      </w:r>
      <w:r w:rsidRPr="0006280B">
        <w:rPr>
          <w:sz w:val="36"/>
          <w:szCs w:val="36"/>
        </w:rPr>
        <w:t>varies for different age groups</w:t>
      </w:r>
      <w:r w:rsidR="00DC221B" w:rsidRPr="0006280B">
        <w:rPr>
          <w:sz w:val="36"/>
          <w:szCs w:val="36"/>
        </w:rPr>
        <w:t>, children with special needs, and parent employment patterns</w:t>
      </w:r>
      <w:r w:rsidRPr="0006280B">
        <w:rPr>
          <w:sz w:val="36"/>
          <w:szCs w:val="36"/>
        </w:rPr>
        <w:t>.</w:t>
      </w:r>
      <w:r w:rsidR="008D25BF" w:rsidRPr="0006280B">
        <w:rPr>
          <w:rStyle w:val="FootnoteReference"/>
          <w:sz w:val="36"/>
          <w:szCs w:val="36"/>
        </w:rPr>
        <w:footnoteReference w:id="3"/>
      </w:r>
      <w:r w:rsidR="000E30C2" w:rsidRPr="0006280B">
        <w:rPr>
          <w:sz w:val="36"/>
          <w:szCs w:val="36"/>
        </w:rPr>
        <w:t xml:space="preserve"> </w:t>
      </w:r>
      <w:r w:rsidR="001823CB" w:rsidRPr="0006280B">
        <w:rPr>
          <w:sz w:val="36"/>
          <w:szCs w:val="36"/>
        </w:rPr>
        <w:t xml:space="preserve">Wherever there is a lack of childcare provision, the impact is likely to be heavily gendered as the need for this care does not go away and the gap is typically filled by mothers. This leaves mothers </w:t>
      </w:r>
      <w:r w:rsidR="001823CB" w:rsidRPr="0006280B">
        <w:rPr>
          <w:sz w:val="36"/>
          <w:szCs w:val="36"/>
        </w:rPr>
        <w:lastRenderedPageBreak/>
        <w:t xml:space="preserve">with difficult choices to make around entering or remaining in the labour market, and severely limits their options in terms of working hours or how far they </w:t>
      </w:r>
      <w:proofErr w:type="gramStart"/>
      <w:r w:rsidR="001823CB" w:rsidRPr="0006280B">
        <w:rPr>
          <w:sz w:val="36"/>
          <w:szCs w:val="36"/>
        </w:rPr>
        <w:t>are able to</w:t>
      </w:r>
      <w:proofErr w:type="gramEnd"/>
      <w:r w:rsidR="001823CB" w:rsidRPr="0006280B">
        <w:rPr>
          <w:sz w:val="36"/>
          <w:szCs w:val="36"/>
        </w:rPr>
        <w:t xml:space="preserve"> travel for work.</w:t>
      </w:r>
    </w:p>
    <w:p w14:paraId="4CDF20E3" w14:textId="77777777" w:rsidR="000E570C" w:rsidRPr="0006280B" w:rsidRDefault="000E570C" w:rsidP="00415CC5">
      <w:pPr>
        <w:rPr>
          <w:b/>
          <w:bCs/>
          <w:color w:val="7030A0"/>
          <w:sz w:val="36"/>
          <w:szCs w:val="36"/>
          <w:u w:val="single"/>
        </w:rPr>
      </w:pPr>
    </w:p>
    <w:p w14:paraId="183121A5" w14:textId="70176734" w:rsidR="00415CC5" w:rsidRPr="0006280B" w:rsidRDefault="00415CC5" w:rsidP="00415CC5">
      <w:pPr>
        <w:rPr>
          <w:b/>
          <w:bCs/>
          <w:color w:val="7030A0"/>
          <w:sz w:val="36"/>
          <w:szCs w:val="36"/>
          <w:u w:val="single"/>
        </w:rPr>
      </w:pPr>
      <w:r w:rsidRPr="0006280B">
        <w:rPr>
          <w:b/>
          <w:bCs/>
          <w:color w:val="7030A0"/>
          <w:sz w:val="36"/>
          <w:szCs w:val="36"/>
          <w:u w:val="single"/>
        </w:rPr>
        <w:t>England</w:t>
      </w:r>
    </w:p>
    <w:p w14:paraId="2ECB8233" w14:textId="7EF56E39" w:rsidR="00415CC5" w:rsidRPr="0006280B" w:rsidRDefault="00415CC5" w:rsidP="005D2D9D">
      <w:pPr>
        <w:rPr>
          <w:sz w:val="36"/>
          <w:szCs w:val="36"/>
        </w:rPr>
      </w:pPr>
      <w:r w:rsidRPr="0006280B">
        <w:rPr>
          <w:sz w:val="36"/>
          <w:szCs w:val="36"/>
        </w:rPr>
        <w:t>In</w:t>
      </w:r>
      <w:r w:rsidR="00AD3CDC" w:rsidRPr="0006280B">
        <w:rPr>
          <w:sz w:val="36"/>
          <w:szCs w:val="36"/>
        </w:rPr>
        <w:t xml:space="preserve"> its 2021 Childcare Survey, The Coram Childcare and Family Trust reported that in</w:t>
      </w:r>
      <w:r w:rsidRPr="0006280B">
        <w:rPr>
          <w:sz w:val="36"/>
          <w:szCs w:val="36"/>
        </w:rPr>
        <w:t xml:space="preserve"> England, 72% of local authorities </w:t>
      </w:r>
      <w:r w:rsidR="00AD3CDC" w:rsidRPr="0006280B">
        <w:rPr>
          <w:sz w:val="36"/>
          <w:szCs w:val="36"/>
        </w:rPr>
        <w:t xml:space="preserve">said </w:t>
      </w:r>
      <w:r w:rsidR="008D25BF" w:rsidRPr="0006280B">
        <w:rPr>
          <w:sz w:val="36"/>
          <w:szCs w:val="36"/>
        </w:rPr>
        <w:t xml:space="preserve">that there was </w:t>
      </w:r>
      <w:r w:rsidRPr="0006280B">
        <w:rPr>
          <w:sz w:val="36"/>
          <w:szCs w:val="36"/>
        </w:rPr>
        <w:t>enough childcare in all areas for children aged under two</w:t>
      </w:r>
      <w:r w:rsidR="00DC221B" w:rsidRPr="0006280B">
        <w:rPr>
          <w:sz w:val="36"/>
          <w:szCs w:val="36"/>
        </w:rPr>
        <w:t>.</w:t>
      </w:r>
      <w:r w:rsidR="008D25BF" w:rsidRPr="0006280B">
        <w:rPr>
          <w:rStyle w:val="FootnoteReference"/>
          <w:sz w:val="36"/>
          <w:szCs w:val="36"/>
        </w:rPr>
        <w:footnoteReference w:id="4"/>
      </w:r>
      <w:r w:rsidR="00DC221B" w:rsidRPr="0006280B">
        <w:rPr>
          <w:sz w:val="36"/>
          <w:szCs w:val="36"/>
        </w:rPr>
        <w:t xml:space="preserve"> This is lower for older children,</w:t>
      </w:r>
      <w:r w:rsidRPr="0006280B">
        <w:rPr>
          <w:sz w:val="36"/>
          <w:szCs w:val="36"/>
        </w:rPr>
        <w:t xml:space="preserve"> with </w:t>
      </w:r>
      <w:r w:rsidR="00037CD3" w:rsidRPr="0006280B">
        <w:rPr>
          <w:sz w:val="36"/>
          <w:szCs w:val="36"/>
        </w:rPr>
        <w:t xml:space="preserve">just </w:t>
      </w:r>
      <w:r w:rsidRPr="0006280B">
        <w:rPr>
          <w:sz w:val="36"/>
          <w:szCs w:val="36"/>
        </w:rPr>
        <w:t>26% of local authorities reporting enough childcare in all areas for children aged 5-11 years</w:t>
      </w:r>
      <w:r w:rsidR="00DC221B" w:rsidRPr="0006280B">
        <w:rPr>
          <w:sz w:val="36"/>
          <w:szCs w:val="36"/>
        </w:rPr>
        <w:t xml:space="preserve"> and</w:t>
      </w:r>
      <w:r w:rsidRPr="0006280B">
        <w:rPr>
          <w:sz w:val="36"/>
          <w:szCs w:val="36"/>
        </w:rPr>
        <w:t xml:space="preserve"> only 13% reporting enough after-school childcare for 12-14 year</w:t>
      </w:r>
      <w:r w:rsidR="00DC221B" w:rsidRPr="0006280B">
        <w:rPr>
          <w:sz w:val="36"/>
          <w:szCs w:val="36"/>
        </w:rPr>
        <w:t>-</w:t>
      </w:r>
      <w:r w:rsidRPr="0006280B">
        <w:rPr>
          <w:sz w:val="36"/>
          <w:szCs w:val="36"/>
        </w:rPr>
        <w:t>olds.</w:t>
      </w:r>
      <w:r w:rsidR="00DC221B" w:rsidRPr="0006280B">
        <w:rPr>
          <w:rStyle w:val="FootnoteReference"/>
          <w:sz w:val="36"/>
          <w:szCs w:val="36"/>
        </w:rPr>
        <w:t xml:space="preserve"> </w:t>
      </w:r>
      <w:r w:rsidR="00484BF6" w:rsidRPr="0006280B">
        <w:rPr>
          <w:sz w:val="36"/>
          <w:szCs w:val="36"/>
        </w:rPr>
        <w:t xml:space="preserve">Parents working atypical hours also see a big gap in the availability of childcare, with only 16% of local authorities reporting enough childcare in all areas for this group. </w:t>
      </w:r>
      <w:r w:rsidR="004B472E" w:rsidRPr="0006280B">
        <w:rPr>
          <w:sz w:val="36"/>
          <w:szCs w:val="36"/>
        </w:rPr>
        <w:t xml:space="preserve">Parents of disabled children in England face low rates of childcare provision across the country, with only 25% of local authorities reporting sufficient childcare for disabled children in all areas. Disabled children can require higher levels of care and attention and where there are gaps in available childcare, parents of disabled children will often have to fill them. </w:t>
      </w:r>
    </w:p>
    <w:p w14:paraId="1418A9C3" w14:textId="113550F2" w:rsidR="00B07CEF" w:rsidRPr="0006280B" w:rsidRDefault="00B07CEF" w:rsidP="005D2D9D">
      <w:pPr>
        <w:rPr>
          <w:sz w:val="36"/>
          <w:szCs w:val="36"/>
        </w:rPr>
      </w:pPr>
    </w:p>
    <w:p w14:paraId="126BE9B6" w14:textId="5FF6289A" w:rsidR="00002C70" w:rsidRPr="0006280B" w:rsidRDefault="008D25BF" w:rsidP="00002C70">
      <w:pPr>
        <w:rPr>
          <w:sz w:val="36"/>
          <w:szCs w:val="36"/>
        </w:rPr>
      </w:pPr>
      <w:r w:rsidRPr="0006280B">
        <w:rPr>
          <w:sz w:val="36"/>
          <w:szCs w:val="36"/>
        </w:rPr>
        <w:t xml:space="preserve">Comparing </w:t>
      </w:r>
      <w:r w:rsidR="00AD3CDC" w:rsidRPr="0006280B">
        <w:rPr>
          <w:sz w:val="36"/>
          <w:szCs w:val="36"/>
        </w:rPr>
        <w:t>the Coram</w:t>
      </w:r>
      <w:r w:rsidRPr="0006280B">
        <w:rPr>
          <w:sz w:val="36"/>
          <w:szCs w:val="36"/>
        </w:rPr>
        <w:t xml:space="preserve"> 2021 survey results with the previous years’</w:t>
      </w:r>
      <w:r w:rsidR="00B07CEF" w:rsidRPr="0006280B">
        <w:rPr>
          <w:sz w:val="36"/>
          <w:szCs w:val="36"/>
        </w:rPr>
        <w:t>, there has been an increase in the availability of childcare</w:t>
      </w:r>
      <w:r w:rsidR="00AD3CDC" w:rsidRPr="0006280B">
        <w:rPr>
          <w:sz w:val="36"/>
          <w:szCs w:val="36"/>
        </w:rPr>
        <w:t xml:space="preserve"> in England</w:t>
      </w:r>
      <w:r w:rsidR="00B07CEF" w:rsidRPr="0006280B">
        <w:rPr>
          <w:sz w:val="36"/>
          <w:szCs w:val="36"/>
        </w:rPr>
        <w:t xml:space="preserve"> reported for all groups apart from school</w:t>
      </w:r>
      <w:r w:rsidR="004B472E" w:rsidRPr="0006280B">
        <w:rPr>
          <w:sz w:val="36"/>
          <w:szCs w:val="36"/>
        </w:rPr>
        <w:t>-</w:t>
      </w:r>
      <w:r w:rsidR="00B07CEF" w:rsidRPr="0006280B">
        <w:rPr>
          <w:sz w:val="36"/>
          <w:szCs w:val="36"/>
        </w:rPr>
        <w:t xml:space="preserve">age childcare and for parents working atypical hours. This is likely to be a result of a decrease in demand for childcare in response to the pandemic, rather than an </w:t>
      </w:r>
      <w:r w:rsidR="00B07CEF" w:rsidRPr="0006280B">
        <w:rPr>
          <w:sz w:val="36"/>
          <w:szCs w:val="36"/>
        </w:rPr>
        <w:lastRenderedPageBreak/>
        <w:t xml:space="preserve">increase in the provision of childcare. </w:t>
      </w:r>
      <w:r w:rsidR="00002C70" w:rsidRPr="0006280B">
        <w:rPr>
          <w:sz w:val="36"/>
          <w:szCs w:val="36"/>
        </w:rPr>
        <w:t xml:space="preserve">In some areas, demand for childcare for parents working atypical hours may have increased if key workers started to use more formal childcare arrangements. </w:t>
      </w:r>
      <w:r w:rsidR="001062BC" w:rsidRPr="0006280B">
        <w:rPr>
          <w:sz w:val="36"/>
          <w:szCs w:val="36"/>
        </w:rPr>
        <w:t>Childcare for school-aged children was hard hit as operating within schools became very challenging or impossible due to new restrictions.</w:t>
      </w:r>
      <w:r w:rsidR="001062BC" w:rsidRPr="0006280B">
        <w:rPr>
          <w:rStyle w:val="FootnoteReference"/>
          <w:sz w:val="36"/>
          <w:szCs w:val="36"/>
        </w:rPr>
        <w:footnoteReference w:id="5"/>
      </w:r>
      <w:r w:rsidR="001062BC" w:rsidRPr="0006280B">
        <w:rPr>
          <w:sz w:val="36"/>
          <w:szCs w:val="36"/>
        </w:rPr>
        <w:t xml:space="preserve"> </w:t>
      </w:r>
    </w:p>
    <w:p w14:paraId="66D568CA" w14:textId="2421F682" w:rsidR="00C15762" w:rsidRPr="0006280B" w:rsidRDefault="00C15762" w:rsidP="005D2D9D">
      <w:pPr>
        <w:rPr>
          <w:sz w:val="36"/>
          <w:szCs w:val="36"/>
        </w:rPr>
      </w:pPr>
    </w:p>
    <w:p w14:paraId="7E8B5B47" w14:textId="096BD48E" w:rsidR="00A76070" w:rsidRPr="0006280B" w:rsidRDefault="00A76070" w:rsidP="000E30C2">
      <w:pPr>
        <w:rPr>
          <w:b/>
          <w:bCs/>
          <w:color w:val="7030A0"/>
          <w:sz w:val="36"/>
          <w:szCs w:val="36"/>
          <w:u w:val="single"/>
        </w:rPr>
      </w:pPr>
      <w:r w:rsidRPr="0006280B">
        <w:rPr>
          <w:b/>
          <w:bCs/>
          <w:color w:val="7030A0"/>
          <w:sz w:val="36"/>
          <w:szCs w:val="36"/>
          <w:u w:val="single"/>
        </w:rPr>
        <w:t>Scotland</w:t>
      </w:r>
      <w:r w:rsidR="008D25BF" w:rsidRPr="0006280B">
        <w:rPr>
          <w:rStyle w:val="FootnoteReference"/>
          <w:sz w:val="36"/>
          <w:szCs w:val="36"/>
        </w:rPr>
        <w:footnoteReference w:id="6"/>
      </w:r>
    </w:p>
    <w:p w14:paraId="185560B9" w14:textId="301C647F" w:rsidR="00A76070" w:rsidRPr="0006280B" w:rsidRDefault="006C57E4" w:rsidP="00ED2386">
      <w:pPr>
        <w:rPr>
          <w:sz w:val="36"/>
          <w:szCs w:val="36"/>
        </w:rPr>
      </w:pPr>
      <w:r w:rsidRPr="0006280B">
        <w:rPr>
          <w:sz w:val="36"/>
          <w:szCs w:val="36"/>
        </w:rPr>
        <w:t xml:space="preserve">Coram report that </w:t>
      </w:r>
      <w:r w:rsidR="00A76070" w:rsidRPr="0006280B">
        <w:rPr>
          <w:sz w:val="36"/>
          <w:szCs w:val="36"/>
        </w:rPr>
        <w:t>81% of local authorities</w:t>
      </w:r>
      <w:r w:rsidR="008D25BF" w:rsidRPr="0006280B">
        <w:rPr>
          <w:sz w:val="36"/>
          <w:szCs w:val="36"/>
        </w:rPr>
        <w:t xml:space="preserve"> in Scotland</w:t>
      </w:r>
      <w:r w:rsidRPr="0006280B">
        <w:rPr>
          <w:sz w:val="36"/>
          <w:szCs w:val="36"/>
        </w:rPr>
        <w:t xml:space="preserve"> say</w:t>
      </w:r>
      <w:r w:rsidR="00A76070" w:rsidRPr="0006280B">
        <w:rPr>
          <w:sz w:val="36"/>
          <w:szCs w:val="36"/>
        </w:rPr>
        <w:t xml:space="preserve"> </w:t>
      </w:r>
      <w:r w:rsidR="008D25BF" w:rsidRPr="0006280B">
        <w:rPr>
          <w:sz w:val="36"/>
          <w:szCs w:val="36"/>
        </w:rPr>
        <w:t xml:space="preserve">that there was </w:t>
      </w:r>
      <w:r w:rsidR="00A76070" w:rsidRPr="0006280B">
        <w:rPr>
          <w:sz w:val="36"/>
          <w:szCs w:val="36"/>
        </w:rPr>
        <w:t>sufficient childcare for 3</w:t>
      </w:r>
      <w:r w:rsidR="00037CD3" w:rsidRPr="0006280B">
        <w:rPr>
          <w:sz w:val="36"/>
          <w:szCs w:val="36"/>
        </w:rPr>
        <w:t>-</w:t>
      </w:r>
      <w:r w:rsidR="00A76070" w:rsidRPr="0006280B">
        <w:rPr>
          <w:sz w:val="36"/>
          <w:szCs w:val="36"/>
        </w:rPr>
        <w:t>and</w:t>
      </w:r>
      <w:r w:rsidR="00037CD3" w:rsidRPr="0006280B">
        <w:rPr>
          <w:sz w:val="36"/>
          <w:szCs w:val="36"/>
        </w:rPr>
        <w:t>-</w:t>
      </w:r>
      <w:r w:rsidR="00A76070" w:rsidRPr="0006280B">
        <w:rPr>
          <w:sz w:val="36"/>
          <w:szCs w:val="36"/>
        </w:rPr>
        <w:t>4</w:t>
      </w:r>
      <w:r w:rsidR="004B472E" w:rsidRPr="0006280B">
        <w:rPr>
          <w:sz w:val="36"/>
          <w:szCs w:val="36"/>
        </w:rPr>
        <w:t>-</w:t>
      </w:r>
      <w:r w:rsidR="00A76070" w:rsidRPr="0006280B">
        <w:rPr>
          <w:sz w:val="36"/>
          <w:szCs w:val="36"/>
        </w:rPr>
        <w:t>year</w:t>
      </w:r>
      <w:r w:rsidR="004B472E" w:rsidRPr="0006280B">
        <w:rPr>
          <w:sz w:val="36"/>
          <w:szCs w:val="36"/>
        </w:rPr>
        <w:t>-</w:t>
      </w:r>
      <w:r w:rsidR="00A76070" w:rsidRPr="0006280B">
        <w:rPr>
          <w:sz w:val="36"/>
          <w:szCs w:val="36"/>
        </w:rPr>
        <w:t xml:space="preserve">old </w:t>
      </w:r>
      <w:r w:rsidR="000B654F" w:rsidRPr="0006280B">
        <w:rPr>
          <w:sz w:val="36"/>
          <w:szCs w:val="36"/>
        </w:rPr>
        <w:t>600</w:t>
      </w:r>
      <w:r w:rsidR="001062BC" w:rsidRPr="0006280B">
        <w:rPr>
          <w:sz w:val="36"/>
          <w:szCs w:val="36"/>
        </w:rPr>
        <w:t>-</w:t>
      </w:r>
      <w:r w:rsidR="000B654F" w:rsidRPr="0006280B">
        <w:rPr>
          <w:sz w:val="36"/>
          <w:szCs w:val="36"/>
        </w:rPr>
        <w:t xml:space="preserve">hour </w:t>
      </w:r>
      <w:r w:rsidR="00A76070" w:rsidRPr="0006280B">
        <w:rPr>
          <w:sz w:val="36"/>
          <w:szCs w:val="36"/>
        </w:rPr>
        <w:t>entitlement in all areas</w:t>
      </w:r>
      <w:r w:rsidR="002F7D9C" w:rsidRPr="0006280B">
        <w:rPr>
          <w:sz w:val="36"/>
          <w:szCs w:val="36"/>
        </w:rPr>
        <w:t xml:space="preserve"> </w:t>
      </w:r>
      <w:r w:rsidR="000B654F" w:rsidRPr="0006280B">
        <w:rPr>
          <w:sz w:val="36"/>
          <w:szCs w:val="36"/>
        </w:rPr>
        <w:t>(equivalent to England’s 15</w:t>
      </w:r>
      <w:r w:rsidR="001062BC" w:rsidRPr="0006280B">
        <w:rPr>
          <w:sz w:val="36"/>
          <w:szCs w:val="36"/>
        </w:rPr>
        <w:t>-</w:t>
      </w:r>
      <w:r w:rsidR="000B654F" w:rsidRPr="0006280B">
        <w:rPr>
          <w:sz w:val="36"/>
          <w:szCs w:val="36"/>
        </w:rPr>
        <w:t>hour per week entitlement)</w:t>
      </w:r>
      <w:r w:rsidR="002F7D9C" w:rsidRPr="0006280B">
        <w:rPr>
          <w:sz w:val="36"/>
          <w:szCs w:val="36"/>
        </w:rPr>
        <w:t xml:space="preserve">. </w:t>
      </w:r>
      <w:r w:rsidR="00ED2386" w:rsidRPr="0006280B">
        <w:rPr>
          <w:sz w:val="36"/>
          <w:szCs w:val="36"/>
        </w:rPr>
        <w:t>This is a significant decrease since last year, whe</w:t>
      </w:r>
      <w:r w:rsidR="000B654F" w:rsidRPr="0006280B">
        <w:rPr>
          <w:sz w:val="36"/>
          <w:szCs w:val="36"/>
        </w:rPr>
        <w:t>n</w:t>
      </w:r>
      <w:r w:rsidR="00ED2386" w:rsidRPr="0006280B">
        <w:rPr>
          <w:sz w:val="36"/>
          <w:szCs w:val="36"/>
        </w:rPr>
        <w:t xml:space="preserve"> 92% of local authorities reported sufficient childcare for this group in all areas. </w:t>
      </w:r>
      <w:r w:rsidR="002F7D9C" w:rsidRPr="0006280B">
        <w:rPr>
          <w:sz w:val="36"/>
          <w:szCs w:val="36"/>
        </w:rPr>
        <w:t xml:space="preserve">Not all local authorities in Scotland have fully rolled out the </w:t>
      </w:r>
      <w:r w:rsidR="008D25BF" w:rsidRPr="0006280B">
        <w:rPr>
          <w:sz w:val="36"/>
          <w:szCs w:val="36"/>
        </w:rPr>
        <w:t>1140-hour</w:t>
      </w:r>
      <w:r w:rsidR="002F7D9C" w:rsidRPr="0006280B">
        <w:rPr>
          <w:sz w:val="36"/>
          <w:szCs w:val="36"/>
        </w:rPr>
        <w:t xml:space="preserve"> entitlement </w:t>
      </w:r>
      <w:r w:rsidR="000B654F" w:rsidRPr="0006280B">
        <w:rPr>
          <w:sz w:val="36"/>
          <w:szCs w:val="36"/>
        </w:rPr>
        <w:t xml:space="preserve">(equivalent to </w:t>
      </w:r>
      <w:r w:rsidR="00037CD3" w:rsidRPr="0006280B">
        <w:rPr>
          <w:sz w:val="36"/>
          <w:szCs w:val="36"/>
        </w:rPr>
        <w:t xml:space="preserve">the </w:t>
      </w:r>
      <w:r w:rsidR="000B654F" w:rsidRPr="0006280B">
        <w:rPr>
          <w:sz w:val="36"/>
          <w:szCs w:val="36"/>
        </w:rPr>
        <w:t>30</w:t>
      </w:r>
      <w:r w:rsidR="001062BC" w:rsidRPr="0006280B">
        <w:rPr>
          <w:sz w:val="36"/>
          <w:szCs w:val="36"/>
        </w:rPr>
        <w:t>-</w:t>
      </w:r>
      <w:r w:rsidR="000B654F" w:rsidRPr="0006280B">
        <w:rPr>
          <w:sz w:val="36"/>
          <w:szCs w:val="36"/>
        </w:rPr>
        <w:t xml:space="preserve">hour per week entitlement) </w:t>
      </w:r>
      <w:r w:rsidR="002F7D9C" w:rsidRPr="0006280B">
        <w:rPr>
          <w:sz w:val="36"/>
          <w:szCs w:val="36"/>
        </w:rPr>
        <w:t xml:space="preserve">so it is difficult to compare provision for this group with the rest of Great Britain. </w:t>
      </w:r>
    </w:p>
    <w:p w14:paraId="30CCBE31" w14:textId="39A920A3" w:rsidR="002F7D9C" w:rsidRPr="0006280B" w:rsidRDefault="002F7D9C" w:rsidP="002F7D9C">
      <w:pPr>
        <w:rPr>
          <w:sz w:val="36"/>
          <w:szCs w:val="36"/>
        </w:rPr>
      </w:pPr>
    </w:p>
    <w:p w14:paraId="2855E7F4" w14:textId="4E9C0F56" w:rsidR="002F7D9C" w:rsidRPr="0006280B" w:rsidRDefault="002F7D9C" w:rsidP="00ED2386">
      <w:pPr>
        <w:rPr>
          <w:sz w:val="36"/>
          <w:szCs w:val="36"/>
        </w:rPr>
      </w:pPr>
      <w:r w:rsidRPr="0006280B">
        <w:rPr>
          <w:sz w:val="36"/>
          <w:szCs w:val="36"/>
        </w:rPr>
        <w:t>When compared with</w:t>
      </w:r>
      <w:r w:rsidR="008D25BF" w:rsidRPr="0006280B">
        <w:rPr>
          <w:sz w:val="36"/>
          <w:szCs w:val="36"/>
        </w:rPr>
        <w:t xml:space="preserve"> Coram’s</w:t>
      </w:r>
      <w:r w:rsidRPr="0006280B">
        <w:rPr>
          <w:sz w:val="36"/>
          <w:szCs w:val="36"/>
        </w:rPr>
        <w:t xml:space="preserve"> </w:t>
      </w:r>
      <w:r w:rsidR="00962576" w:rsidRPr="0006280B">
        <w:rPr>
          <w:sz w:val="36"/>
          <w:szCs w:val="36"/>
        </w:rPr>
        <w:t xml:space="preserve">survey of the previous year, </w:t>
      </w:r>
      <w:r w:rsidRPr="0006280B">
        <w:rPr>
          <w:sz w:val="36"/>
          <w:szCs w:val="36"/>
        </w:rPr>
        <w:t xml:space="preserve">sufficiency in childcare provision in Scotland has decreased for most recorded groups. There has however been an increase in sufficiency for disabled children, </w:t>
      </w:r>
      <w:r w:rsidR="001062BC" w:rsidRPr="0006280B">
        <w:rPr>
          <w:sz w:val="36"/>
          <w:szCs w:val="36"/>
        </w:rPr>
        <w:t xml:space="preserve">school-age </w:t>
      </w:r>
      <w:r w:rsidR="001062BC" w:rsidRPr="0006280B">
        <w:rPr>
          <w:sz w:val="36"/>
          <w:szCs w:val="36"/>
        </w:rPr>
        <w:lastRenderedPageBreak/>
        <w:t>children</w:t>
      </w:r>
      <w:r w:rsidRPr="0006280B">
        <w:rPr>
          <w:sz w:val="36"/>
          <w:szCs w:val="36"/>
        </w:rPr>
        <w:t>, and for parents working full time</w:t>
      </w:r>
      <w:r w:rsidR="00CE67DE" w:rsidRPr="0006280B">
        <w:rPr>
          <w:sz w:val="36"/>
          <w:szCs w:val="36"/>
        </w:rPr>
        <w:t>.</w:t>
      </w:r>
      <w:r w:rsidRPr="0006280B">
        <w:rPr>
          <w:sz w:val="36"/>
          <w:szCs w:val="36"/>
        </w:rPr>
        <w:t xml:space="preserve"> It is possible that the impact of lockdown measures and school closures for those who are not the children of key workers went some way to decreasing the demand for childcare provision in these categories.</w:t>
      </w:r>
    </w:p>
    <w:p w14:paraId="18CEB0FB" w14:textId="0B7C30F8" w:rsidR="00C15762" w:rsidRPr="0006280B" w:rsidRDefault="00C15762" w:rsidP="005D2D9D">
      <w:pPr>
        <w:rPr>
          <w:sz w:val="36"/>
          <w:szCs w:val="36"/>
          <w:u w:val="single"/>
        </w:rPr>
      </w:pPr>
    </w:p>
    <w:p w14:paraId="7C6FAA00" w14:textId="08C5FCD1" w:rsidR="00ED2386" w:rsidRPr="0006280B" w:rsidRDefault="00ED2386" w:rsidP="000E30C2">
      <w:pPr>
        <w:rPr>
          <w:b/>
          <w:bCs/>
          <w:color w:val="7030A0"/>
          <w:sz w:val="36"/>
          <w:szCs w:val="36"/>
          <w:u w:val="single"/>
        </w:rPr>
      </w:pPr>
      <w:r w:rsidRPr="0006280B">
        <w:rPr>
          <w:b/>
          <w:bCs/>
          <w:color w:val="7030A0"/>
          <w:sz w:val="36"/>
          <w:szCs w:val="36"/>
          <w:u w:val="single"/>
        </w:rPr>
        <w:t>Wales</w:t>
      </w:r>
    </w:p>
    <w:p w14:paraId="7D6CA11D" w14:textId="39897A5F" w:rsidR="00ED2386" w:rsidRPr="0006280B" w:rsidRDefault="00ED2386" w:rsidP="00ED2386">
      <w:pPr>
        <w:rPr>
          <w:sz w:val="36"/>
          <w:szCs w:val="36"/>
        </w:rPr>
      </w:pPr>
      <w:r w:rsidRPr="0006280B">
        <w:rPr>
          <w:sz w:val="36"/>
          <w:szCs w:val="36"/>
        </w:rPr>
        <w:t xml:space="preserve">In Wales, </w:t>
      </w:r>
      <w:r w:rsidR="006C57E4" w:rsidRPr="0006280B">
        <w:rPr>
          <w:sz w:val="36"/>
          <w:szCs w:val="36"/>
        </w:rPr>
        <w:t>Coram report</w:t>
      </w:r>
      <w:r w:rsidRPr="0006280B">
        <w:rPr>
          <w:sz w:val="36"/>
          <w:szCs w:val="36"/>
        </w:rPr>
        <w:t xml:space="preserve"> significant childcare provision shortages for disabled children and </w:t>
      </w:r>
      <w:r w:rsidR="001232B2" w:rsidRPr="0006280B">
        <w:rPr>
          <w:sz w:val="36"/>
          <w:szCs w:val="36"/>
        </w:rPr>
        <w:t xml:space="preserve">for </w:t>
      </w:r>
      <w:r w:rsidRPr="0006280B">
        <w:rPr>
          <w:sz w:val="36"/>
          <w:szCs w:val="36"/>
        </w:rPr>
        <w:t>children of parents working atypical hours</w:t>
      </w:r>
      <w:r w:rsidR="006C57E4" w:rsidRPr="0006280B">
        <w:rPr>
          <w:sz w:val="36"/>
          <w:szCs w:val="36"/>
        </w:rPr>
        <w:t>,</w:t>
      </w:r>
      <w:r w:rsidRPr="0006280B">
        <w:rPr>
          <w:sz w:val="36"/>
          <w:szCs w:val="36"/>
        </w:rPr>
        <w:t xml:space="preserve"> with 38% and 41% of local authorities reporting</w:t>
      </w:r>
      <w:r w:rsidR="006C57E4" w:rsidRPr="0006280B">
        <w:rPr>
          <w:sz w:val="36"/>
          <w:szCs w:val="36"/>
        </w:rPr>
        <w:t xml:space="preserve"> </w:t>
      </w:r>
      <w:r w:rsidRPr="0006280B">
        <w:rPr>
          <w:sz w:val="36"/>
          <w:szCs w:val="36"/>
        </w:rPr>
        <w:t>that there is not enough childcare respectively.</w:t>
      </w:r>
      <w:r w:rsidR="008D25BF" w:rsidRPr="0006280B">
        <w:rPr>
          <w:sz w:val="36"/>
          <w:szCs w:val="36"/>
        </w:rPr>
        <w:t xml:space="preserve"> </w:t>
      </w:r>
      <w:bookmarkStart w:id="0" w:name="OLE_LINK1"/>
      <w:bookmarkStart w:id="1" w:name="OLE_LINK2"/>
      <w:r w:rsidRPr="0006280B">
        <w:rPr>
          <w:sz w:val="36"/>
          <w:szCs w:val="36"/>
        </w:rPr>
        <w:t>Parents working full time also don’t fare much better, with only 41% of Welsh local authorities reporting sufficiency in all areas for this group</w:t>
      </w:r>
      <w:bookmarkEnd w:id="0"/>
      <w:bookmarkEnd w:id="1"/>
      <w:r w:rsidRPr="0006280B">
        <w:rPr>
          <w:sz w:val="36"/>
          <w:szCs w:val="36"/>
        </w:rPr>
        <w:t>. Significantly, only around half of local authorities in Wales reported</w:t>
      </w:r>
      <w:r w:rsidR="008D25BF" w:rsidRPr="0006280B">
        <w:rPr>
          <w:sz w:val="36"/>
          <w:szCs w:val="36"/>
        </w:rPr>
        <w:t xml:space="preserve"> in the Coram Family and Childcare </w:t>
      </w:r>
      <w:r w:rsidR="004378FA" w:rsidRPr="0006280B">
        <w:rPr>
          <w:sz w:val="36"/>
          <w:szCs w:val="36"/>
        </w:rPr>
        <w:t>Survey that</w:t>
      </w:r>
      <w:r w:rsidRPr="0006280B">
        <w:rPr>
          <w:sz w:val="36"/>
          <w:szCs w:val="36"/>
        </w:rPr>
        <w:t xml:space="preserve"> there is enough childcare for free early education entitlements.</w:t>
      </w:r>
    </w:p>
    <w:p w14:paraId="653074CD" w14:textId="77777777" w:rsidR="00E70232" w:rsidRPr="0006280B" w:rsidRDefault="00E70232" w:rsidP="00E70232">
      <w:pPr>
        <w:rPr>
          <w:sz w:val="36"/>
          <w:szCs w:val="36"/>
          <w:u w:val="single"/>
        </w:rPr>
      </w:pPr>
    </w:p>
    <w:p w14:paraId="602CFC2A" w14:textId="33E56D65" w:rsidR="00A81ABE" w:rsidRPr="0006280B" w:rsidRDefault="00E70232" w:rsidP="00A81ABE">
      <w:pPr>
        <w:rPr>
          <w:sz w:val="36"/>
          <w:szCs w:val="36"/>
        </w:rPr>
      </w:pPr>
      <w:r w:rsidRPr="0006280B">
        <w:rPr>
          <w:sz w:val="36"/>
          <w:szCs w:val="36"/>
        </w:rPr>
        <w:t xml:space="preserve">When compared with </w:t>
      </w:r>
      <w:r w:rsidR="00172A83" w:rsidRPr="0006280B">
        <w:rPr>
          <w:sz w:val="36"/>
          <w:szCs w:val="36"/>
        </w:rPr>
        <w:t xml:space="preserve">Coram’s </w:t>
      </w:r>
      <w:r w:rsidRPr="0006280B">
        <w:rPr>
          <w:sz w:val="36"/>
          <w:szCs w:val="36"/>
        </w:rPr>
        <w:t>2020</w:t>
      </w:r>
      <w:r w:rsidR="00172A83" w:rsidRPr="0006280B">
        <w:rPr>
          <w:sz w:val="36"/>
          <w:szCs w:val="36"/>
        </w:rPr>
        <w:t xml:space="preserve"> survey</w:t>
      </w:r>
      <w:r w:rsidRPr="0006280B">
        <w:rPr>
          <w:sz w:val="36"/>
          <w:szCs w:val="36"/>
        </w:rPr>
        <w:t>, reported sufficiency of childcare in Wales has increased for most categories</w:t>
      </w:r>
      <w:r w:rsidR="006C57E4" w:rsidRPr="0006280B">
        <w:rPr>
          <w:sz w:val="36"/>
          <w:szCs w:val="36"/>
        </w:rPr>
        <w:t>.</w:t>
      </w:r>
      <w:r w:rsidR="00037CD3" w:rsidRPr="0006280B">
        <w:rPr>
          <w:rStyle w:val="FootnoteReference"/>
          <w:sz w:val="36"/>
          <w:szCs w:val="36"/>
        </w:rPr>
        <w:footnoteReference w:id="7"/>
      </w:r>
      <w:r w:rsidR="00172A83" w:rsidRPr="0006280B">
        <w:rPr>
          <w:sz w:val="36"/>
          <w:szCs w:val="36"/>
        </w:rPr>
        <w:t xml:space="preserve"> Despite this, </w:t>
      </w:r>
      <w:r w:rsidR="001232B2" w:rsidRPr="0006280B">
        <w:rPr>
          <w:sz w:val="36"/>
          <w:szCs w:val="36"/>
        </w:rPr>
        <w:t>childcare</w:t>
      </w:r>
      <w:r w:rsidRPr="0006280B">
        <w:rPr>
          <w:sz w:val="36"/>
          <w:szCs w:val="36"/>
        </w:rPr>
        <w:t xml:space="preserve"> sufficiency for disabled children in all areas</w:t>
      </w:r>
      <w:r w:rsidR="00172A83" w:rsidRPr="0006280B">
        <w:rPr>
          <w:sz w:val="36"/>
          <w:szCs w:val="36"/>
        </w:rPr>
        <w:t xml:space="preserve"> in Wales</w:t>
      </w:r>
      <w:r w:rsidRPr="0006280B">
        <w:rPr>
          <w:sz w:val="36"/>
          <w:szCs w:val="36"/>
        </w:rPr>
        <w:t xml:space="preserve"> decreased significantly from 31% in 2020 to 19% in 2021</w:t>
      </w:r>
      <w:r w:rsidR="0037611C" w:rsidRPr="0006280B">
        <w:rPr>
          <w:sz w:val="36"/>
          <w:szCs w:val="36"/>
        </w:rPr>
        <w:t>, as well as</w:t>
      </w:r>
      <w:r w:rsidRPr="0006280B">
        <w:rPr>
          <w:sz w:val="36"/>
          <w:szCs w:val="36"/>
        </w:rPr>
        <w:t xml:space="preserve"> provision for children of parents working atypical hours, from 21% in 2020 to just 6% in 2021.</w:t>
      </w:r>
    </w:p>
    <w:p w14:paraId="4EFA143A" w14:textId="6AE6D62D" w:rsidR="00A81ABE" w:rsidRPr="0006280B" w:rsidRDefault="00A81ABE" w:rsidP="00A81ABE">
      <w:pPr>
        <w:rPr>
          <w:b/>
          <w:bCs/>
          <w:color w:val="7030A0"/>
          <w:sz w:val="36"/>
          <w:szCs w:val="36"/>
        </w:rPr>
      </w:pPr>
    </w:p>
    <w:p w14:paraId="019201A4" w14:textId="2E809E5E" w:rsidR="00FE69D2" w:rsidRPr="0006280B" w:rsidRDefault="00A81ABE" w:rsidP="000E30C2">
      <w:pPr>
        <w:rPr>
          <w:b/>
          <w:bCs/>
          <w:color w:val="7030A0"/>
          <w:sz w:val="36"/>
          <w:szCs w:val="36"/>
          <w:u w:val="single"/>
        </w:rPr>
      </w:pPr>
      <w:r w:rsidRPr="0006280B">
        <w:rPr>
          <w:b/>
          <w:bCs/>
          <w:color w:val="7030A0"/>
          <w:sz w:val="36"/>
          <w:szCs w:val="36"/>
          <w:u w:val="single"/>
        </w:rPr>
        <w:t>Northern Ireland</w:t>
      </w:r>
    </w:p>
    <w:p w14:paraId="713D445C" w14:textId="4688DA65" w:rsidR="00037CD3" w:rsidRPr="0006280B" w:rsidRDefault="00481FB1" w:rsidP="001232B2">
      <w:pPr>
        <w:rPr>
          <w:sz w:val="36"/>
          <w:szCs w:val="36"/>
        </w:rPr>
      </w:pPr>
      <w:r w:rsidRPr="0006280B">
        <w:rPr>
          <w:sz w:val="36"/>
          <w:szCs w:val="36"/>
        </w:rPr>
        <w:t>The childcare system in Northern Ireland is funded in a different way which makes it difficult to draw comparisons as different data is collected</w:t>
      </w:r>
      <w:r w:rsidR="009A102A" w:rsidRPr="0006280B">
        <w:rPr>
          <w:sz w:val="36"/>
          <w:szCs w:val="36"/>
        </w:rPr>
        <w:t xml:space="preserve">. </w:t>
      </w:r>
      <w:r w:rsidR="001062BC" w:rsidRPr="0006280B">
        <w:rPr>
          <w:sz w:val="36"/>
          <w:szCs w:val="36"/>
        </w:rPr>
        <w:t>There is not comparable data on childcare availability for Northern Ireland</w:t>
      </w:r>
      <w:r w:rsidR="009A102A" w:rsidRPr="0006280B">
        <w:rPr>
          <w:sz w:val="36"/>
          <w:szCs w:val="36"/>
        </w:rPr>
        <w:t xml:space="preserve">. </w:t>
      </w:r>
    </w:p>
    <w:p w14:paraId="09E758F8" w14:textId="77777777" w:rsidR="00A81ABE" w:rsidRPr="0006280B" w:rsidRDefault="00A81ABE" w:rsidP="001232B2">
      <w:pPr>
        <w:rPr>
          <w:sz w:val="36"/>
          <w:szCs w:val="36"/>
        </w:rPr>
      </w:pPr>
    </w:p>
    <w:p w14:paraId="5CCC362E" w14:textId="174837B8" w:rsidR="00037CD3" w:rsidRPr="0006280B" w:rsidRDefault="00037CD3" w:rsidP="00037CD3">
      <w:pPr>
        <w:rPr>
          <w:b/>
          <w:bCs/>
          <w:i/>
          <w:iCs/>
          <w:sz w:val="36"/>
          <w:szCs w:val="36"/>
        </w:rPr>
      </w:pPr>
      <w:r w:rsidRPr="0006280B">
        <w:rPr>
          <w:b/>
          <w:bCs/>
          <w:i/>
          <w:iCs/>
          <w:color w:val="7030A0"/>
          <w:sz w:val="36"/>
          <w:szCs w:val="36"/>
        </w:rPr>
        <w:t>Affordability</w:t>
      </w:r>
    </w:p>
    <w:p w14:paraId="21475E93" w14:textId="77777777" w:rsidR="00037CD3" w:rsidRPr="0006280B" w:rsidRDefault="00037CD3" w:rsidP="00037CD3">
      <w:pPr>
        <w:rPr>
          <w:b/>
          <w:bCs/>
          <w:sz w:val="36"/>
          <w:szCs w:val="36"/>
        </w:rPr>
      </w:pPr>
    </w:p>
    <w:p w14:paraId="127B0732" w14:textId="77777777" w:rsidR="000178D5" w:rsidRPr="0006280B" w:rsidRDefault="00037CD3" w:rsidP="00D53E66">
      <w:pPr>
        <w:rPr>
          <w:sz w:val="36"/>
          <w:szCs w:val="36"/>
        </w:rPr>
      </w:pPr>
      <w:r w:rsidRPr="0006280B">
        <w:rPr>
          <w:sz w:val="36"/>
          <w:szCs w:val="36"/>
        </w:rPr>
        <w:t xml:space="preserve">Even where it is available, childcare in Great Britain is increasingly expensive. Since women are still largely expected to be the primary carers of their children, the unaffordability of childcare provision has a direct negative impact on women’s career progression and earnings, severely limiting the choices they can make within the labour market.  Where childcare provision is available, it is simply not affordable for most women in Great Britain. </w:t>
      </w:r>
    </w:p>
    <w:p w14:paraId="0316F3A3" w14:textId="77777777" w:rsidR="000178D5" w:rsidRPr="0006280B" w:rsidRDefault="000178D5" w:rsidP="00D53E66">
      <w:pPr>
        <w:rPr>
          <w:sz w:val="36"/>
          <w:szCs w:val="36"/>
        </w:rPr>
      </w:pPr>
    </w:p>
    <w:p w14:paraId="55776107" w14:textId="14CFCDCD" w:rsidR="006C57E4" w:rsidRPr="0006280B" w:rsidRDefault="00037CD3" w:rsidP="00D53E66">
      <w:pPr>
        <w:rPr>
          <w:sz w:val="36"/>
          <w:szCs w:val="36"/>
        </w:rPr>
      </w:pPr>
      <w:r w:rsidRPr="0006280B">
        <w:rPr>
          <w:sz w:val="36"/>
          <w:szCs w:val="36"/>
        </w:rPr>
        <w:t>Most parents receive some support through the tax-free childcare or benefits system to help them pay some of these costs, but new data from the Early Years Alliance shows that the funding rates paid to local authorities for the so-called ‘free childcare’ offer are just two thirds of what the UK Government itself estimated would be needed to fully fund the scheme that so many parents depend on.</w:t>
      </w:r>
      <w:r w:rsidRPr="0006280B">
        <w:rPr>
          <w:rStyle w:val="FootnoteReference"/>
          <w:sz w:val="36"/>
          <w:szCs w:val="36"/>
        </w:rPr>
        <w:footnoteReference w:id="8"/>
      </w:r>
      <w:r w:rsidRPr="0006280B">
        <w:rPr>
          <w:sz w:val="36"/>
          <w:szCs w:val="36"/>
        </w:rPr>
        <w:t xml:space="preserve"> This forces providers to cross-subsidise the gap from the parent-paid hours, increasing the cost for younger children and extra hours for 3- and 4-year-olds.</w:t>
      </w:r>
    </w:p>
    <w:p w14:paraId="2C546F1A" w14:textId="77777777" w:rsidR="006C57E4" w:rsidRPr="0006280B" w:rsidRDefault="006C57E4" w:rsidP="006C57E4">
      <w:pPr>
        <w:rPr>
          <w:i/>
          <w:iCs/>
          <w:sz w:val="36"/>
          <w:szCs w:val="36"/>
        </w:rPr>
      </w:pPr>
    </w:p>
    <w:p w14:paraId="6E64979A" w14:textId="6A40CC4E" w:rsidR="006C57E4" w:rsidRPr="0006280B" w:rsidRDefault="006C57E4" w:rsidP="006C57E4">
      <w:pPr>
        <w:rPr>
          <w:b/>
          <w:bCs/>
          <w:color w:val="7030A0"/>
          <w:sz w:val="36"/>
          <w:szCs w:val="36"/>
          <w:u w:val="single"/>
        </w:rPr>
      </w:pPr>
      <w:r w:rsidRPr="0006280B">
        <w:rPr>
          <w:b/>
          <w:bCs/>
          <w:color w:val="7030A0"/>
          <w:sz w:val="36"/>
          <w:szCs w:val="36"/>
          <w:u w:val="single"/>
        </w:rPr>
        <w:lastRenderedPageBreak/>
        <w:t>Childcare for under two-year-olds</w:t>
      </w:r>
    </w:p>
    <w:p w14:paraId="15D07BA2" w14:textId="77777777" w:rsidR="00037CD3" w:rsidRPr="0006280B" w:rsidRDefault="00037CD3" w:rsidP="00037CD3">
      <w:pPr>
        <w:rPr>
          <w:b/>
          <w:bCs/>
          <w:sz w:val="36"/>
          <w:szCs w:val="36"/>
        </w:rPr>
      </w:pPr>
    </w:p>
    <w:p w14:paraId="183645CC" w14:textId="0C45D0AF" w:rsidR="000605CE" w:rsidRPr="0006280B" w:rsidRDefault="00037CD3" w:rsidP="000605CE">
      <w:pPr>
        <w:rPr>
          <w:sz w:val="36"/>
          <w:szCs w:val="36"/>
        </w:rPr>
      </w:pPr>
      <w:r w:rsidRPr="0006280B">
        <w:rPr>
          <w:sz w:val="36"/>
          <w:szCs w:val="36"/>
        </w:rPr>
        <w:t xml:space="preserve">Overall, across Great Britain, </w:t>
      </w:r>
      <w:r w:rsidR="00C9573B" w:rsidRPr="0006280B">
        <w:rPr>
          <w:sz w:val="36"/>
          <w:szCs w:val="36"/>
        </w:rPr>
        <w:t>Women’s Budget Group</w:t>
      </w:r>
      <w:r w:rsidR="006C57E4" w:rsidRPr="0006280B">
        <w:rPr>
          <w:sz w:val="36"/>
          <w:szCs w:val="36"/>
        </w:rPr>
        <w:t xml:space="preserve"> analysis shows that </w:t>
      </w:r>
      <w:r w:rsidR="000178D5" w:rsidRPr="0006280B">
        <w:rPr>
          <w:sz w:val="36"/>
          <w:szCs w:val="36"/>
        </w:rPr>
        <w:t>women</w:t>
      </w:r>
      <w:r w:rsidRPr="0006280B">
        <w:rPr>
          <w:sz w:val="36"/>
          <w:szCs w:val="36"/>
        </w:rPr>
        <w:t xml:space="preserve"> are expected to spend a significant proportion of their </w:t>
      </w:r>
      <w:r w:rsidR="000178D5" w:rsidRPr="0006280B">
        <w:rPr>
          <w:sz w:val="36"/>
          <w:szCs w:val="36"/>
        </w:rPr>
        <w:t>earnings</w:t>
      </w:r>
      <w:r w:rsidRPr="0006280B">
        <w:rPr>
          <w:sz w:val="36"/>
          <w:szCs w:val="36"/>
        </w:rPr>
        <w:t xml:space="preserve"> on childcare costs as shown in Table 1. Although childcare costs should be treated as a household expense, evidence suggests that mothers tend to pay for childcare from their own incomes and childcare decisions within families are weighed against women’s salaries and whether it is financially ‘worth it’ for the mother to remain in the labour market.</w:t>
      </w:r>
      <w:r w:rsidRPr="0006280B">
        <w:rPr>
          <w:rStyle w:val="FootnoteReference"/>
          <w:sz w:val="36"/>
          <w:szCs w:val="36"/>
        </w:rPr>
        <w:footnoteReference w:id="9"/>
      </w:r>
      <w:r w:rsidRPr="0006280B">
        <w:rPr>
          <w:sz w:val="36"/>
          <w:szCs w:val="36"/>
        </w:rPr>
        <w:t xml:space="preserve"> </w:t>
      </w:r>
    </w:p>
    <w:p w14:paraId="6D636F8F" w14:textId="5865FB54" w:rsidR="003E2615" w:rsidRPr="0006280B" w:rsidRDefault="003E2615" w:rsidP="000605CE">
      <w:pPr>
        <w:rPr>
          <w:sz w:val="36"/>
          <w:szCs w:val="36"/>
        </w:rPr>
      </w:pPr>
    </w:p>
    <w:p w14:paraId="5B67A9D8" w14:textId="32EBA5A0" w:rsidR="000E570C" w:rsidRPr="0006280B" w:rsidRDefault="000E570C" w:rsidP="000605CE">
      <w:pPr>
        <w:rPr>
          <w:sz w:val="36"/>
          <w:szCs w:val="36"/>
        </w:rPr>
      </w:pPr>
    </w:p>
    <w:p w14:paraId="153DC305" w14:textId="7D6F4CC3" w:rsidR="000E570C" w:rsidRPr="0006280B" w:rsidRDefault="000E570C" w:rsidP="000605CE">
      <w:pPr>
        <w:rPr>
          <w:sz w:val="36"/>
          <w:szCs w:val="36"/>
        </w:rPr>
      </w:pPr>
    </w:p>
    <w:p w14:paraId="31E0CCA7" w14:textId="1817E73B" w:rsidR="000E570C" w:rsidRPr="0006280B" w:rsidRDefault="000E570C" w:rsidP="000605CE">
      <w:pPr>
        <w:rPr>
          <w:sz w:val="36"/>
          <w:szCs w:val="36"/>
        </w:rPr>
      </w:pPr>
    </w:p>
    <w:p w14:paraId="680E7DA0" w14:textId="0EF65000" w:rsidR="000E570C" w:rsidRPr="0006280B" w:rsidRDefault="000E570C" w:rsidP="000605CE">
      <w:pPr>
        <w:rPr>
          <w:sz w:val="36"/>
          <w:szCs w:val="36"/>
        </w:rPr>
      </w:pPr>
    </w:p>
    <w:p w14:paraId="1A67C08E" w14:textId="1952D60A" w:rsidR="000E570C" w:rsidRPr="0006280B" w:rsidRDefault="000E570C" w:rsidP="000605CE">
      <w:pPr>
        <w:rPr>
          <w:sz w:val="36"/>
          <w:szCs w:val="36"/>
        </w:rPr>
      </w:pPr>
    </w:p>
    <w:p w14:paraId="19E9F7EE" w14:textId="3FD92513" w:rsidR="000E570C" w:rsidRPr="0006280B" w:rsidRDefault="000E570C" w:rsidP="000605CE">
      <w:pPr>
        <w:rPr>
          <w:sz w:val="36"/>
          <w:szCs w:val="36"/>
        </w:rPr>
      </w:pPr>
    </w:p>
    <w:p w14:paraId="08702BEA" w14:textId="77777777" w:rsidR="000E570C" w:rsidRPr="0006280B" w:rsidRDefault="000E570C" w:rsidP="000605CE">
      <w:pPr>
        <w:rPr>
          <w:sz w:val="36"/>
          <w:szCs w:val="36"/>
        </w:rPr>
      </w:pPr>
    </w:p>
    <w:p w14:paraId="5C0B1341" w14:textId="77777777" w:rsidR="00037CD3" w:rsidRPr="0006280B" w:rsidRDefault="00037CD3" w:rsidP="00037CD3">
      <w:pPr>
        <w:rPr>
          <w:sz w:val="36"/>
          <w:szCs w:val="36"/>
        </w:rPr>
      </w:pPr>
    </w:p>
    <w:p w14:paraId="54342D06" w14:textId="01041701" w:rsidR="00037CD3" w:rsidRPr="0006280B" w:rsidRDefault="00037CD3" w:rsidP="003E2615">
      <w:pPr>
        <w:rPr>
          <w:b/>
          <w:bCs/>
          <w:i/>
          <w:iCs/>
          <w:color w:val="7030A0"/>
          <w:sz w:val="36"/>
          <w:szCs w:val="36"/>
        </w:rPr>
      </w:pPr>
      <w:r w:rsidRPr="0006280B">
        <w:rPr>
          <w:b/>
          <w:bCs/>
          <w:i/>
          <w:iCs/>
          <w:color w:val="7030A0"/>
          <w:sz w:val="36"/>
          <w:szCs w:val="36"/>
        </w:rPr>
        <w:t>Table 1: Percentage of women’s median earnings absorbed by childcare costs for children under 2 years, Great Britain, 2021</w:t>
      </w:r>
    </w:p>
    <w:p w14:paraId="14F32F4C" w14:textId="77777777" w:rsidR="000E570C" w:rsidRPr="0006280B" w:rsidRDefault="000E570C" w:rsidP="003E2615">
      <w:pPr>
        <w:rPr>
          <w:i/>
          <w:iCs/>
          <w:color w:val="7030A0"/>
          <w:sz w:val="36"/>
          <w:szCs w:val="36"/>
        </w:rPr>
      </w:pPr>
    </w:p>
    <w:tbl>
      <w:tblPr>
        <w:tblW w:w="9226" w:type="dxa"/>
        <w:tblInd w:w="-5" w:type="dxa"/>
        <w:tblLook w:val="04A0" w:firstRow="1" w:lastRow="0" w:firstColumn="1" w:lastColumn="0" w:noHBand="0" w:noVBand="1"/>
      </w:tblPr>
      <w:tblGrid>
        <w:gridCol w:w="3798"/>
        <w:gridCol w:w="1401"/>
        <w:gridCol w:w="2072"/>
        <w:gridCol w:w="2072"/>
      </w:tblGrid>
      <w:tr w:rsidR="00037CD3" w:rsidRPr="0006280B" w14:paraId="244CCF5B" w14:textId="77777777" w:rsidTr="00A36DE8">
        <w:trPr>
          <w:trHeight w:val="1265"/>
        </w:trPr>
        <w:tc>
          <w:tcPr>
            <w:tcW w:w="50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D2D9AB" w14:textId="77777777" w:rsidR="00037CD3" w:rsidRPr="0006280B" w:rsidRDefault="00037CD3" w:rsidP="00A36DE8">
            <w:pPr>
              <w:rPr>
                <w:rFonts w:ascii="Calibri" w:eastAsia="Times New Roman" w:hAnsi="Calibri" w:cs="Calibri"/>
                <w:b/>
                <w:bCs/>
                <w:color w:val="000000"/>
                <w:sz w:val="36"/>
                <w:szCs w:val="36"/>
              </w:rPr>
            </w:pPr>
            <w:r w:rsidRPr="0006280B">
              <w:rPr>
                <w:rFonts w:ascii="Calibri" w:eastAsia="Times New Roman" w:hAnsi="Calibri" w:cs="Calibri"/>
                <w:b/>
                <w:bCs/>
                <w:color w:val="000000"/>
                <w:sz w:val="36"/>
                <w:szCs w:val="36"/>
              </w:rPr>
              <w:t>Childcare costs in Great Britain for children in Nursery (per year)</w:t>
            </w:r>
          </w:p>
        </w:tc>
        <w:tc>
          <w:tcPr>
            <w:tcW w:w="2072" w:type="dxa"/>
            <w:tcBorders>
              <w:top w:val="single" w:sz="4" w:space="0" w:color="auto"/>
              <w:left w:val="nil"/>
              <w:bottom w:val="single" w:sz="4" w:space="0" w:color="auto"/>
              <w:right w:val="single" w:sz="4" w:space="0" w:color="auto"/>
            </w:tcBorders>
            <w:shd w:val="clear" w:color="auto" w:fill="auto"/>
            <w:vAlign w:val="bottom"/>
            <w:hideMark/>
          </w:tcPr>
          <w:p w14:paraId="17F532A4" w14:textId="77777777" w:rsidR="00037CD3" w:rsidRPr="0006280B" w:rsidRDefault="00037CD3" w:rsidP="00A36DE8">
            <w:pPr>
              <w:jc w:val="center"/>
              <w:rPr>
                <w:rFonts w:ascii="Calibri" w:eastAsia="Times New Roman" w:hAnsi="Calibri" w:cs="Calibri"/>
                <w:b/>
                <w:bCs/>
                <w:color w:val="000000"/>
                <w:sz w:val="36"/>
                <w:szCs w:val="36"/>
              </w:rPr>
            </w:pPr>
            <w:r w:rsidRPr="0006280B">
              <w:rPr>
                <w:rFonts w:ascii="Calibri" w:eastAsia="Times New Roman" w:hAnsi="Calibri" w:cs="Calibri"/>
                <w:b/>
                <w:bCs/>
                <w:color w:val="000000"/>
                <w:sz w:val="36"/>
                <w:szCs w:val="36"/>
              </w:rPr>
              <w:t>Women's Median earnings (per year)</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34A475ED" w14:textId="77777777" w:rsidR="00037CD3" w:rsidRPr="0006280B" w:rsidRDefault="00037CD3" w:rsidP="00A36DE8">
            <w:pPr>
              <w:jc w:val="center"/>
              <w:rPr>
                <w:rFonts w:ascii="Calibri" w:eastAsia="Times New Roman" w:hAnsi="Calibri" w:cs="Calibri"/>
                <w:b/>
                <w:bCs/>
                <w:color w:val="000000"/>
                <w:sz w:val="36"/>
                <w:szCs w:val="36"/>
              </w:rPr>
            </w:pPr>
            <w:r w:rsidRPr="0006280B">
              <w:rPr>
                <w:rFonts w:ascii="Calibri" w:eastAsia="Times New Roman" w:hAnsi="Calibri" w:cs="Calibri"/>
                <w:b/>
                <w:bCs/>
                <w:color w:val="000000"/>
                <w:sz w:val="36"/>
                <w:szCs w:val="36"/>
              </w:rPr>
              <w:t xml:space="preserve">% </w:t>
            </w:r>
            <w:proofErr w:type="gramStart"/>
            <w:r w:rsidRPr="0006280B">
              <w:rPr>
                <w:rFonts w:ascii="Calibri" w:eastAsia="Times New Roman" w:hAnsi="Calibri" w:cs="Calibri"/>
                <w:b/>
                <w:bCs/>
                <w:color w:val="000000"/>
                <w:sz w:val="36"/>
                <w:szCs w:val="36"/>
              </w:rPr>
              <w:t>of</w:t>
            </w:r>
            <w:proofErr w:type="gramEnd"/>
            <w:r w:rsidRPr="0006280B">
              <w:rPr>
                <w:rFonts w:ascii="Calibri" w:eastAsia="Times New Roman" w:hAnsi="Calibri" w:cs="Calibri"/>
                <w:b/>
                <w:bCs/>
                <w:color w:val="000000"/>
                <w:sz w:val="36"/>
                <w:szCs w:val="36"/>
              </w:rPr>
              <w:t xml:space="preserve"> women’s earnings absorbed by childcare</w:t>
            </w:r>
          </w:p>
        </w:tc>
      </w:tr>
      <w:tr w:rsidR="00037CD3" w:rsidRPr="0006280B" w14:paraId="5DA48EDA" w14:textId="77777777" w:rsidTr="00A36DE8">
        <w:trPr>
          <w:trHeight w:val="397"/>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31BB89C3" w14:textId="77777777" w:rsidR="00037CD3" w:rsidRPr="0006280B" w:rsidRDefault="00037CD3" w:rsidP="00A36DE8">
            <w:pPr>
              <w:rPr>
                <w:rFonts w:ascii="Calibri" w:eastAsia="Times New Roman" w:hAnsi="Calibri" w:cs="Calibri"/>
                <w:color w:val="000000"/>
                <w:sz w:val="36"/>
                <w:szCs w:val="36"/>
              </w:rPr>
            </w:pPr>
            <w:r w:rsidRPr="0006280B">
              <w:rPr>
                <w:rFonts w:ascii="Calibri" w:eastAsia="Times New Roman" w:hAnsi="Calibri" w:cs="Calibri"/>
                <w:color w:val="000000"/>
                <w:sz w:val="36"/>
                <w:szCs w:val="36"/>
              </w:rPr>
              <w:lastRenderedPageBreak/>
              <w:t>&lt; 2-year-olds (part-time)</w:t>
            </w:r>
          </w:p>
        </w:tc>
        <w:tc>
          <w:tcPr>
            <w:tcW w:w="1284" w:type="dxa"/>
            <w:tcBorders>
              <w:top w:val="nil"/>
              <w:left w:val="nil"/>
              <w:bottom w:val="single" w:sz="4" w:space="0" w:color="auto"/>
              <w:right w:val="single" w:sz="4" w:space="0" w:color="auto"/>
            </w:tcBorders>
            <w:shd w:val="clear" w:color="auto" w:fill="auto"/>
            <w:noWrap/>
            <w:vAlign w:val="bottom"/>
            <w:hideMark/>
          </w:tcPr>
          <w:p w14:paraId="02A0BE0F" w14:textId="77777777" w:rsidR="00037CD3" w:rsidRPr="0006280B" w:rsidRDefault="00037CD3" w:rsidP="00A36DE8">
            <w:pPr>
              <w:jc w:val="center"/>
              <w:rPr>
                <w:rFonts w:ascii="Calibri" w:eastAsia="Times New Roman" w:hAnsi="Calibri" w:cs="Calibri"/>
                <w:color w:val="000000"/>
                <w:sz w:val="36"/>
                <w:szCs w:val="36"/>
              </w:rPr>
            </w:pPr>
            <w:r w:rsidRPr="0006280B">
              <w:rPr>
                <w:rFonts w:ascii="Calibri" w:eastAsia="Times New Roman" w:hAnsi="Calibri" w:cs="Calibri"/>
                <w:color w:val="000000"/>
                <w:sz w:val="36"/>
                <w:szCs w:val="36"/>
              </w:rPr>
              <w:t xml:space="preserve">£7,160 </w:t>
            </w:r>
          </w:p>
        </w:tc>
        <w:tc>
          <w:tcPr>
            <w:tcW w:w="2072" w:type="dxa"/>
            <w:tcBorders>
              <w:top w:val="nil"/>
              <w:left w:val="nil"/>
              <w:bottom w:val="single" w:sz="4" w:space="0" w:color="auto"/>
              <w:right w:val="single" w:sz="4" w:space="0" w:color="auto"/>
            </w:tcBorders>
            <w:shd w:val="clear" w:color="auto" w:fill="auto"/>
            <w:noWrap/>
            <w:vAlign w:val="bottom"/>
            <w:hideMark/>
          </w:tcPr>
          <w:p w14:paraId="6BA7EC1C" w14:textId="77777777" w:rsidR="00037CD3" w:rsidRPr="0006280B" w:rsidRDefault="00037CD3" w:rsidP="00A36DE8">
            <w:pPr>
              <w:jc w:val="center"/>
              <w:rPr>
                <w:rFonts w:ascii="Calibri" w:eastAsia="Times New Roman" w:hAnsi="Calibri" w:cs="Calibri"/>
                <w:color w:val="000000"/>
                <w:sz w:val="36"/>
                <w:szCs w:val="36"/>
              </w:rPr>
            </w:pPr>
            <w:r w:rsidRPr="0006280B">
              <w:rPr>
                <w:rFonts w:ascii="Calibri" w:eastAsia="Times New Roman" w:hAnsi="Calibri" w:cs="Calibri"/>
                <w:color w:val="000000"/>
                <w:sz w:val="36"/>
                <w:szCs w:val="36"/>
              </w:rPr>
              <w:t xml:space="preserve">£11,324 </w:t>
            </w:r>
          </w:p>
        </w:tc>
        <w:tc>
          <w:tcPr>
            <w:tcW w:w="2072" w:type="dxa"/>
            <w:tcBorders>
              <w:top w:val="nil"/>
              <w:left w:val="nil"/>
              <w:bottom w:val="single" w:sz="4" w:space="0" w:color="auto"/>
              <w:right w:val="single" w:sz="4" w:space="0" w:color="auto"/>
            </w:tcBorders>
            <w:shd w:val="clear" w:color="auto" w:fill="auto"/>
            <w:noWrap/>
            <w:vAlign w:val="bottom"/>
            <w:hideMark/>
          </w:tcPr>
          <w:p w14:paraId="2419E3E3" w14:textId="77777777" w:rsidR="00037CD3" w:rsidRPr="0006280B" w:rsidRDefault="00037CD3" w:rsidP="00A36DE8">
            <w:pPr>
              <w:jc w:val="center"/>
              <w:rPr>
                <w:rFonts w:ascii="Calibri" w:eastAsia="Times New Roman" w:hAnsi="Calibri" w:cs="Calibri"/>
                <w:color w:val="000000"/>
                <w:sz w:val="36"/>
                <w:szCs w:val="36"/>
              </w:rPr>
            </w:pPr>
            <w:r w:rsidRPr="0006280B">
              <w:rPr>
                <w:rFonts w:ascii="Calibri" w:eastAsia="Times New Roman" w:hAnsi="Calibri" w:cs="Calibri"/>
                <w:color w:val="000000"/>
                <w:sz w:val="36"/>
                <w:szCs w:val="36"/>
              </w:rPr>
              <w:t>63%</w:t>
            </w:r>
          </w:p>
        </w:tc>
      </w:tr>
      <w:tr w:rsidR="00037CD3" w:rsidRPr="0006280B" w14:paraId="2322594A" w14:textId="77777777" w:rsidTr="00A36DE8">
        <w:trPr>
          <w:trHeight w:val="397"/>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41BE25DA" w14:textId="77777777" w:rsidR="00037CD3" w:rsidRPr="0006280B" w:rsidRDefault="00037CD3" w:rsidP="00A36DE8">
            <w:pPr>
              <w:rPr>
                <w:rFonts w:ascii="Calibri" w:eastAsia="Times New Roman" w:hAnsi="Calibri" w:cs="Calibri"/>
                <w:color w:val="000000"/>
                <w:sz w:val="36"/>
                <w:szCs w:val="36"/>
              </w:rPr>
            </w:pPr>
            <w:r w:rsidRPr="0006280B">
              <w:rPr>
                <w:rFonts w:ascii="Calibri" w:eastAsia="Times New Roman" w:hAnsi="Calibri" w:cs="Calibri"/>
                <w:color w:val="000000"/>
                <w:sz w:val="36"/>
                <w:szCs w:val="36"/>
              </w:rPr>
              <w:t>&lt; 2-year-olds (full-time)</w:t>
            </w:r>
          </w:p>
        </w:tc>
        <w:tc>
          <w:tcPr>
            <w:tcW w:w="1284" w:type="dxa"/>
            <w:tcBorders>
              <w:top w:val="nil"/>
              <w:left w:val="nil"/>
              <w:bottom w:val="single" w:sz="4" w:space="0" w:color="auto"/>
              <w:right w:val="single" w:sz="4" w:space="0" w:color="auto"/>
            </w:tcBorders>
            <w:shd w:val="clear" w:color="auto" w:fill="auto"/>
            <w:noWrap/>
            <w:vAlign w:val="bottom"/>
            <w:hideMark/>
          </w:tcPr>
          <w:p w14:paraId="36BF0386" w14:textId="77777777" w:rsidR="00037CD3" w:rsidRPr="0006280B" w:rsidRDefault="00037CD3" w:rsidP="00A36DE8">
            <w:pPr>
              <w:jc w:val="center"/>
              <w:rPr>
                <w:rFonts w:ascii="Calibri" w:eastAsia="Times New Roman" w:hAnsi="Calibri" w:cs="Calibri"/>
                <w:color w:val="000000"/>
                <w:sz w:val="36"/>
                <w:szCs w:val="36"/>
              </w:rPr>
            </w:pPr>
            <w:r w:rsidRPr="0006280B">
              <w:rPr>
                <w:rFonts w:ascii="Calibri" w:eastAsia="Times New Roman" w:hAnsi="Calibri" w:cs="Calibri"/>
                <w:color w:val="000000"/>
                <w:sz w:val="36"/>
                <w:szCs w:val="36"/>
              </w:rPr>
              <w:t xml:space="preserve">£13,718 </w:t>
            </w:r>
          </w:p>
        </w:tc>
        <w:tc>
          <w:tcPr>
            <w:tcW w:w="2072" w:type="dxa"/>
            <w:tcBorders>
              <w:top w:val="nil"/>
              <w:left w:val="nil"/>
              <w:bottom w:val="single" w:sz="4" w:space="0" w:color="auto"/>
              <w:right w:val="single" w:sz="4" w:space="0" w:color="auto"/>
            </w:tcBorders>
            <w:shd w:val="clear" w:color="auto" w:fill="auto"/>
            <w:noWrap/>
            <w:vAlign w:val="bottom"/>
            <w:hideMark/>
          </w:tcPr>
          <w:p w14:paraId="58F6F1A9" w14:textId="77777777" w:rsidR="00037CD3" w:rsidRPr="0006280B" w:rsidRDefault="00037CD3" w:rsidP="00A36DE8">
            <w:pPr>
              <w:jc w:val="center"/>
              <w:rPr>
                <w:rFonts w:ascii="Calibri" w:eastAsia="Times New Roman" w:hAnsi="Calibri" w:cs="Calibri"/>
                <w:color w:val="000000"/>
                <w:sz w:val="36"/>
                <w:szCs w:val="36"/>
              </w:rPr>
            </w:pPr>
            <w:r w:rsidRPr="0006280B">
              <w:rPr>
                <w:rFonts w:ascii="Calibri" w:eastAsia="Times New Roman" w:hAnsi="Calibri" w:cs="Calibri"/>
                <w:color w:val="000000"/>
                <w:sz w:val="36"/>
                <w:szCs w:val="36"/>
              </w:rPr>
              <w:t xml:space="preserve">£28,021 </w:t>
            </w:r>
          </w:p>
        </w:tc>
        <w:tc>
          <w:tcPr>
            <w:tcW w:w="2072" w:type="dxa"/>
            <w:tcBorders>
              <w:top w:val="nil"/>
              <w:left w:val="nil"/>
              <w:bottom w:val="single" w:sz="4" w:space="0" w:color="auto"/>
              <w:right w:val="single" w:sz="4" w:space="0" w:color="auto"/>
            </w:tcBorders>
            <w:shd w:val="clear" w:color="auto" w:fill="auto"/>
            <w:noWrap/>
            <w:vAlign w:val="bottom"/>
            <w:hideMark/>
          </w:tcPr>
          <w:p w14:paraId="14A1D343" w14:textId="77777777" w:rsidR="00037CD3" w:rsidRPr="0006280B" w:rsidRDefault="00037CD3" w:rsidP="00A36DE8">
            <w:pPr>
              <w:jc w:val="center"/>
              <w:rPr>
                <w:rFonts w:ascii="Calibri" w:eastAsia="Times New Roman" w:hAnsi="Calibri" w:cs="Calibri"/>
                <w:color w:val="000000"/>
                <w:sz w:val="36"/>
                <w:szCs w:val="36"/>
              </w:rPr>
            </w:pPr>
            <w:r w:rsidRPr="0006280B">
              <w:rPr>
                <w:rFonts w:ascii="Calibri" w:eastAsia="Times New Roman" w:hAnsi="Calibri" w:cs="Calibri"/>
                <w:color w:val="000000"/>
                <w:sz w:val="36"/>
                <w:szCs w:val="36"/>
              </w:rPr>
              <w:t>49%</w:t>
            </w:r>
          </w:p>
        </w:tc>
      </w:tr>
    </w:tbl>
    <w:p w14:paraId="64FEA8CD" w14:textId="506A3759" w:rsidR="00CD6044" w:rsidRPr="0006280B" w:rsidRDefault="00565595" w:rsidP="006C57E4">
      <w:pPr>
        <w:rPr>
          <w:i/>
          <w:iCs/>
          <w:sz w:val="36"/>
          <w:szCs w:val="36"/>
        </w:rPr>
      </w:pPr>
      <w:r w:rsidRPr="0006280B">
        <w:rPr>
          <w:i/>
          <w:iCs/>
          <w:sz w:val="36"/>
          <w:szCs w:val="36"/>
        </w:rPr>
        <w:t>Source: Women’s Budget Group calculations using Coram’s Annual Childcare Survey 2021 and the Annual Survey of Hours and Earnings (ASHE), table 3.71</w:t>
      </w:r>
    </w:p>
    <w:p w14:paraId="0D497BBA" w14:textId="77777777" w:rsidR="00CD6044" w:rsidRPr="0006280B" w:rsidRDefault="00CD6044" w:rsidP="00CD6044">
      <w:pPr>
        <w:rPr>
          <w:b/>
          <w:bCs/>
          <w:sz w:val="36"/>
          <w:szCs w:val="36"/>
        </w:rPr>
      </w:pPr>
    </w:p>
    <w:p w14:paraId="571C56E0" w14:textId="1DC3AE7B" w:rsidR="00CD6044" w:rsidRPr="0006280B" w:rsidRDefault="006C57E4" w:rsidP="00CD6044">
      <w:pPr>
        <w:rPr>
          <w:sz w:val="36"/>
          <w:szCs w:val="36"/>
        </w:rPr>
      </w:pPr>
      <w:r w:rsidRPr="0006280B">
        <w:rPr>
          <w:sz w:val="36"/>
          <w:szCs w:val="36"/>
        </w:rPr>
        <w:t>Coram’s survey reports that t</w:t>
      </w:r>
      <w:r w:rsidR="00CD6044" w:rsidRPr="0006280B">
        <w:rPr>
          <w:sz w:val="36"/>
          <w:szCs w:val="36"/>
        </w:rPr>
        <w:t>he average price of a part-time childcare place (25 hours) a week for a child under two in a nursery costs £137.69 across Great Britain, which amounts to £7,160 a year.</w:t>
      </w:r>
      <w:r w:rsidRPr="0006280B">
        <w:rPr>
          <w:sz w:val="36"/>
          <w:szCs w:val="36"/>
        </w:rPr>
        <w:t xml:space="preserve"> However, the survey also shows</w:t>
      </w:r>
      <w:r w:rsidR="00CD6044" w:rsidRPr="0006280B">
        <w:rPr>
          <w:sz w:val="36"/>
          <w:szCs w:val="36"/>
        </w:rPr>
        <w:t xml:space="preserve"> there are substantial regional variations across Great Britain. England has the highest cost for both nurseries and childminders. The average cost in England for a part</w:t>
      </w:r>
      <w:r w:rsidR="000178D5" w:rsidRPr="0006280B">
        <w:rPr>
          <w:sz w:val="36"/>
          <w:szCs w:val="36"/>
        </w:rPr>
        <w:t>-</w:t>
      </w:r>
      <w:r w:rsidR="00CD6044" w:rsidRPr="0006280B">
        <w:rPr>
          <w:sz w:val="36"/>
          <w:szCs w:val="36"/>
        </w:rPr>
        <w:t>time place for a child under two is £7,325 per year, £6,099 in Scotland and £5,968 in Wales.</w:t>
      </w:r>
    </w:p>
    <w:p w14:paraId="753DB413" w14:textId="77777777" w:rsidR="00CD6044" w:rsidRPr="0006280B" w:rsidRDefault="00CD6044" w:rsidP="00CD6044">
      <w:pPr>
        <w:rPr>
          <w:sz w:val="36"/>
          <w:szCs w:val="36"/>
        </w:rPr>
      </w:pPr>
    </w:p>
    <w:p w14:paraId="5B3241E6" w14:textId="2A6EF9F3" w:rsidR="00CD6044" w:rsidRPr="0006280B" w:rsidRDefault="00CD6044" w:rsidP="00CD6044">
      <w:pPr>
        <w:rPr>
          <w:sz w:val="36"/>
          <w:szCs w:val="36"/>
        </w:rPr>
      </w:pPr>
      <w:r w:rsidRPr="0006280B">
        <w:rPr>
          <w:sz w:val="36"/>
          <w:szCs w:val="36"/>
        </w:rPr>
        <w:t>The average cost of a full-time childcare place (50 hours</w:t>
      </w:r>
      <w:r w:rsidR="00CD2787" w:rsidRPr="0006280B">
        <w:rPr>
          <w:sz w:val="36"/>
          <w:szCs w:val="36"/>
        </w:rPr>
        <w:t>)</w:t>
      </w:r>
      <w:r w:rsidRPr="0006280B">
        <w:rPr>
          <w:sz w:val="36"/>
          <w:szCs w:val="36"/>
        </w:rPr>
        <w:t xml:space="preserve"> for a child under two in Great Britain in a nursery is £13,718 per year. In England, the average cost is the highest at £13,939 per year, £11,937 per year in Wales and £11,863 in Scotland.</w:t>
      </w:r>
    </w:p>
    <w:p w14:paraId="4080FBFF" w14:textId="77777777" w:rsidR="00CD6044" w:rsidRPr="0006280B" w:rsidRDefault="00CD6044" w:rsidP="00CD6044">
      <w:pPr>
        <w:rPr>
          <w:sz w:val="36"/>
          <w:szCs w:val="36"/>
        </w:rPr>
      </w:pPr>
    </w:p>
    <w:p w14:paraId="35FE3CAD" w14:textId="3E98D6C5" w:rsidR="00CD6044" w:rsidRPr="0006280B" w:rsidRDefault="00CD6044" w:rsidP="006C57E4">
      <w:pPr>
        <w:rPr>
          <w:sz w:val="36"/>
          <w:szCs w:val="36"/>
        </w:rPr>
      </w:pPr>
      <w:r w:rsidRPr="0006280B">
        <w:rPr>
          <w:sz w:val="36"/>
          <w:szCs w:val="36"/>
        </w:rPr>
        <w:t xml:space="preserve">Some families will be able to receive support with childcare costs through Universal Credit or Tax Credits. However, for </w:t>
      </w:r>
      <w:r w:rsidR="000178D5" w:rsidRPr="0006280B">
        <w:rPr>
          <w:sz w:val="36"/>
          <w:szCs w:val="36"/>
        </w:rPr>
        <w:t>most</w:t>
      </w:r>
      <w:r w:rsidRPr="0006280B">
        <w:rPr>
          <w:sz w:val="36"/>
          <w:szCs w:val="36"/>
        </w:rPr>
        <w:t xml:space="preserve"> families the cost of childcare will exceed the support that is available. </w:t>
      </w:r>
      <w:r w:rsidR="00C9573B" w:rsidRPr="0006280B">
        <w:rPr>
          <w:sz w:val="36"/>
          <w:szCs w:val="36"/>
        </w:rPr>
        <w:t>Coram reports that i</w:t>
      </w:r>
      <w:r w:rsidRPr="0006280B">
        <w:rPr>
          <w:sz w:val="36"/>
          <w:szCs w:val="36"/>
        </w:rPr>
        <w:t xml:space="preserve">n 9% of local authorities, the maximum limit per child under Universal Credit of £175 per week does not cover even a part-time place in childcare for a child under two. This figure goes up to 99% of local authorities for a full-time place. If the costs of a family’s childcare exceed these maximum limits, they will not </w:t>
      </w:r>
      <w:r w:rsidRPr="0006280B">
        <w:rPr>
          <w:sz w:val="36"/>
          <w:szCs w:val="36"/>
        </w:rPr>
        <w:lastRenderedPageBreak/>
        <w:t>receive any additional financial support to cover these costs. This can mean that they pay more in childcare costs than they are earning, and so are worse off financially for working more hours.</w:t>
      </w:r>
      <w:r w:rsidR="006C57E4" w:rsidRPr="0006280B">
        <w:rPr>
          <w:sz w:val="36"/>
          <w:szCs w:val="36"/>
        </w:rPr>
        <w:t xml:space="preserve"> </w:t>
      </w:r>
      <w:r w:rsidRPr="0006280B">
        <w:rPr>
          <w:sz w:val="36"/>
          <w:szCs w:val="36"/>
        </w:rPr>
        <w:t xml:space="preserve">If women are in a situation where it does not make economic sense for them to work if they have a child, then they are much less likely to enter or </w:t>
      </w:r>
      <w:r w:rsidR="000178D5" w:rsidRPr="0006280B">
        <w:rPr>
          <w:sz w:val="36"/>
          <w:szCs w:val="36"/>
        </w:rPr>
        <w:t>remain in</w:t>
      </w:r>
      <w:r w:rsidRPr="0006280B">
        <w:rPr>
          <w:sz w:val="36"/>
          <w:szCs w:val="36"/>
        </w:rPr>
        <w:t xml:space="preserve"> the labour market. The percentage of women who do not work because of looking after the family or home remains the single biggest reason why women are economically inactive (26.2%).</w:t>
      </w:r>
      <w:r w:rsidRPr="0006280B">
        <w:rPr>
          <w:rStyle w:val="FootnoteReference"/>
          <w:sz w:val="36"/>
          <w:szCs w:val="36"/>
        </w:rPr>
        <w:footnoteReference w:id="10"/>
      </w:r>
    </w:p>
    <w:p w14:paraId="756A80DA" w14:textId="77777777" w:rsidR="00CD6044" w:rsidRPr="0006280B" w:rsidRDefault="00CD6044" w:rsidP="00CD6044">
      <w:pPr>
        <w:rPr>
          <w:sz w:val="36"/>
          <w:szCs w:val="36"/>
        </w:rPr>
      </w:pPr>
    </w:p>
    <w:p w14:paraId="02B571E9" w14:textId="59192C98" w:rsidR="000605CE" w:rsidRPr="0006280B" w:rsidRDefault="00CD6044" w:rsidP="00CD6044">
      <w:pPr>
        <w:rPr>
          <w:sz w:val="36"/>
          <w:szCs w:val="36"/>
        </w:rPr>
      </w:pPr>
      <w:r w:rsidRPr="0006280B">
        <w:rPr>
          <w:sz w:val="36"/>
          <w:szCs w:val="36"/>
        </w:rPr>
        <w:t xml:space="preserve">Even prior to the pandemic, childcare costs in the UK were more expensive than in any other </w:t>
      </w:r>
      <w:r w:rsidR="000605CE" w:rsidRPr="0006280B">
        <w:rPr>
          <w:sz w:val="36"/>
          <w:szCs w:val="36"/>
        </w:rPr>
        <w:t>OECD member country</w:t>
      </w:r>
      <w:r w:rsidRPr="0006280B">
        <w:rPr>
          <w:sz w:val="36"/>
          <w:szCs w:val="36"/>
        </w:rPr>
        <w:t>. A quarter of middle-income households and 1 in 5 low-income households reported that they would like access to more childcare but could not afford it.</w:t>
      </w:r>
      <w:r w:rsidRPr="0006280B">
        <w:rPr>
          <w:rStyle w:val="FootnoteReference"/>
          <w:sz w:val="36"/>
          <w:szCs w:val="36"/>
        </w:rPr>
        <w:footnoteReference w:id="11"/>
      </w:r>
      <w:r w:rsidRPr="0006280B">
        <w:rPr>
          <w:sz w:val="36"/>
          <w:szCs w:val="36"/>
        </w:rPr>
        <w:t xml:space="preserve"> The UK is also exceptional within Europe in the extent to which childcare is provided by for-profit companies. 84% of childcare is delivered by for-profit providers, as opposed to 3% in Germany or 4% in France.</w:t>
      </w:r>
      <w:r w:rsidRPr="0006280B">
        <w:rPr>
          <w:rStyle w:val="FootnoteReference"/>
          <w:sz w:val="36"/>
          <w:szCs w:val="36"/>
        </w:rPr>
        <w:footnoteReference w:id="12"/>
      </w:r>
      <w:r w:rsidRPr="0006280B">
        <w:rPr>
          <w:sz w:val="36"/>
          <w:szCs w:val="36"/>
        </w:rPr>
        <w:t xml:space="preserve"> </w:t>
      </w:r>
    </w:p>
    <w:p w14:paraId="0162A762" w14:textId="77777777" w:rsidR="000E570C" w:rsidRPr="0006280B" w:rsidRDefault="000E570C" w:rsidP="00CD6044">
      <w:pPr>
        <w:rPr>
          <w:b/>
          <w:bCs/>
          <w:color w:val="7030A0"/>
          <w:sz w:val="36"/>
          <w:szCs w:val="36"/>
          <w:u w:val="single"/>
        </w:rPr>
      </w:pPr>
    </w:p>
    <w:p w14:paraId="6DFA20DB" w14:textId="6DB6302A" w:rsidR="000605CE" w:rsidRPr="0006280B" w:rsidRDefault="000605CE" w:rsidP="00CD6044">
      <w:pPr>
        <w:rPr>
          <w:b/>
          <w:bCs/>
          <w:color w:val="7030A0"/>
          <w:sz w:val="36"/>
          <w:szCs w:val="36"/>
          <w:u w:val="single"/>
        </w:rPr>
      </w:pPr>
      <w:r w:rsidRPr="0006280B">
        <w:rPr>
          <w:b/>
          <w:bCs/>
          <w:color w:val="7030A0"/>
          <w:sz w:val="36"/>
          <w:szCs w:val="36"/>
          <w:u w:val="single"/>
        </w:rPr>
        <w:t>Childcare for 3- and 4-year-olds</w:t>
      </w:r>
    </w:p>
    <w:p w14:paraId="4391AD19" w14:textId="7FF45A43" w:rsidR="000605CE" w:rsidRPr="0006280B" w:rsidRDefault="000605CE" w:rsidP="00CD6044">
      <w:pPr>
        <w:rPr>
          <w:sz w:val="36"/>
          <w:szCs w:val="36"/>
          <w:u w:val="single"/>
        </w:rPr>
      </w:pPr>
    </w:p>
    <w:p w14:paraId="5C37C289" w14:textId="6AE66173" w:rsidR="000605CE" w:rsidRPr="0006280B" w:rsidRDefault="000605CE" w:rsidP="00CD6044">
      <w:pPr>
        <w:rPr>
          <w:sz w:val="36"/>
          <w:szCs w:val="36"/>
          <w:u w:val="single"/>
        </w:rPr>
      </w:pPr>
      <w:r w:rsidRPr="0006280B">
        <w:rPr>
          <w:sz w:val="36"/>
          <w:szCs w:val="36"/>
        </w:rPr>
        <w:t>In England</w:t>
      </w:r>
      <w:r w:rsidR="00B1489F" w:rsidRPr="0006280B">
        <w:rPr>
          <w:sz w:val="36"/>
          <w:szCs w:val="36"/>
        </w:rPr>
        <w:t>,</w:t>
      </w:r>
      <w:r w:rsidRPr="0006280B">
        <w:rPr>
          <w:sz w:val="36"/>
          <w:szCs w:val="36"/>
        </w:rPr>
        <w:t xml:space="preserve"> </w:t>
      </w:r>
      <w:proofErr w:type="gramStart"/>
      <w:r w:rsidRPr="0006280B">
        <w:rPr>
          <w:sz w:val="36"/>
          <w:szCs w:val="36"/>
        </w:rPr>
        <w:t>Scotland</w:t>
      </w:r>
      <w:proofErr w:type="gramEnd"/>
      <w:r w:rsidRPr="0006280B">
        <w:rPr>
          <w:sz w:val="36"/>
          <w:szCs w:val="36"/>
        </w:rPr>
        <w:t xml:space="preserve"> and Wales, all 3- and 4-year-old children are entitled to some free early education until they start </w:t>
      </w:r>
      <w:r w:rsidRPr="0006280B">
        <w:rPr>
          <w:sz w:val="36"/>
          <w:szCs w:val="36"/>
        </w:rPr>
        <w:lastRenderedPageBreak/>
        <w:t xml:space="preserve">school, meaning parents will only need to pay for some of the hours of childcare that they need. This free entitlement is significant support which reduces childcare costs to the equivalent of around a fifth of women’s earnings, as can be seen in Table 2. </w:t>
      </w:r>
    </w:p>
    <w:p w14:paraId="2041516E" w14:textId="77777777" w:rsidR="000E570C" w:rsidRPr="0006280B" w:rsidRDefault="000E570C" w:rsidP="00565595">
      <w:pPr>
        <w:rPr>
          <w:i/>
          <w:iCs/>
          <w:sz w:val="36"/>
          <w:szCs w:val="36"/>
        </w:rPr>
      </w:pPr>
    </w:p>
    <w:p w14:paraId="6FC034A2" w14:textId="53DEBD56" w:rsidR="00565595" w:rsidRPr="0006280B" w:rsidRDefault="00565595" w:rsidP="00565595">
      <w:pPr>
        <w:rPr>
          <w:i/>
          <w:iCs/>
          <w:color w:val="7030A0"/>
          <w:sz w:val="36"/>
          <w:szCs w:val="36"/>
        </w:rPr>
      </w:pPr>
      <w:r w:rsidRPr="0006280B">
        <w:rPr>
          <w:b/>
          <w:bCs/>
          <w:i/>
          <w:iCs/>
          <w:color w:val="7030A0"/>
          <w:sz w:val="36"/>
          <w:szCs w:val="36"/>
        </w:rPr>
        <w:t>Table 2: Percentage of women’s median earnings absorbed by childcare costs, by child age group, England, 2021</w:t>
      </w:r>
    </w:p>
    <w:p w14:paraId="231267CF" w14:textId="77777777" w:rsidR="00565595" w:rsidRPr="0006280B" w:rsidRDefault="00565595" w:rsidP="00565595">
      <w:pPr>
        <w:rPr>
          <w:sz w:val="36"/>
          <w:szCs w:val="36"/>
        </w:rPr>
      </w:pPr>
    </w:p>
    <w:tbl>
      <w:tblPr>
        <w:tblW w:w="9207" w:type="dxa"/>
        <w:tblLook w:val="04A0" w:firstRow="1" w:lastRow="0" w:firstColumn="1" w:lastColumn="0" w:noHBand="0" w:noVBand="1"/>
      </w:tblPr>
      <w:tblGrid>
        <w:gridCol w:w="3944"/>
        <w:gridCol w:w="1219"/>
        <w:gridCol w:w="2068"/>
        <w:gridCol w:w="2068"/>
      </w:tblGrid>
      <w:tr w:rsidR="00565595" w:rsidRPr="0006280B" w14:paraId="3444F2E1" w14:textId="77777777" w:rsidTr="00A36DE8">
        <w:trPr>
          <w:trHeight w:val="1032"/>
        </w:trPr>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3A18CDE" w14:textId="77777777" w:rsidR="00565595" w:rsidRPr="0006280B" w:rsidRDefault="00565595" w:rsidP="00A36DE8">
            <w:pPr>
              <w:rPr>
                <w:rFonts w:ascii="Calibri" w:eastAsia="Times New Roman" w:hAnsi="Calibri" w:cs="Calibri"/>
                <w:b/>
                <w:bCs/>
                <w:color w:val="000000"/>
                <w:sz w:val="36"/>
                <w:szCs w:val="36"/>
              </w:rPr>
            </w:pPr>
            <w:r w:rsidRPr="0006280B">
              <w:rPr>
                <w:rFonts w:ascii="Calibri" w:eastAsia="Times New Roman" w:hAnsi="Calibri" w:cs="Calibri"/>
                <w:b/>
                <w:bCs/>
                <w:color w:val="000000"/>
                <w:sz w:val="36"/>
                <w:szCs w:val="36"/>
              </w:rPr>
              <w:t>Childcare costs in England for children in Nursery (per year)</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14:paraId="47A5FE02" w14:textId="77777777" w:rsidR="00565595" w:rsidRPr="0006280B" w:rsidRDefault="00565595" w:rsidP="00A36DE8">
            <w:pPr>
              <w:jc w:val="center"/>
              <w:rPr>
                <w:rFonts w:ascii="Calibri" w:eastAsia="Times New Roman" w:hAnsi="Calibri" w:cs="Calibri"/>
                <w:b/>
                <w:bCs/>
                <w:color w:val="000000"/>
                <w:sz w:val="36"/>
                <w:szCs w:val="36"/>
              </w:rPr>
            </w:pPr>
            <w:r w:rsidRPr="0006280B">
              <w:rPr>
                <w:rFonts w:ascii="Calibri" w:eastAsia="Times New Roman" w:hAnsi="Calibri" w:cs="Calibri"/>
                <w:b/>
                <w:bCs/>
                <w:color w:val="000000"/>
                <w:sz w:val="36"/>
                <w:szCs w:val="36"/>
              </w:rPr>
              <w:t>Women's Median earnings (per year)</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460E7901" w14:textId="77777777" w:rsidR="00565595" w:rsidRPr="0006280B" w:rsidRDefault="00565595" w:rsidP="00A36DE8">
            <w:pPr>
              <w:jc w:val="center"/>
              <w:rPr>
                <w:rFonts w:ascii="Calibri" w:eastAsia="Times New Roman" w:hAnsi="Calibri" w:cs="Calibri"/>
                <w:b/>
                <w:bCs/>
                <w:color w:val="000000"/>
                <w:sz w:val="36"/>
                <w:szCs w:val="36"/>
              </w:rPr>
            </w:pPr>
            <w:r w:rsidRPr="0006280B">
              <w:rPr>
                <w:rFonts w:ascii="Calibri" w:eastAsia="Times New Roman" w:hAnsi="Calibri" w:cs="Calibri"/>
                <w:b/>
                <w:bCs/>
                <w:color w:val="000000"/>
                <w:sz w:val="36"/>
                <w:szCs w:val="36"/>
              </w:rPr>
              <w:t xml:space="preserve">% </w:t>
            </w:r>
            <w:proofErr w:type="gramStart"/>
            <w:r w:rsidRPr="0006280B">
              <w:rPr>
                <w:rFonts w:ascii="Calibri" w:eastAsia="Times New Roman" w:hAnsi="Calibri" w:cs="Calibri"/>
                <w:b/>
                <w:bCs/>
                <w:color w:val="000000"/>
                <w:sz w:val="36"/>
                <w:szCs w:val="36"/>
              </w:rPr>
              <w:t>of</w:t>
            </w:r>
            <w:proofErr w:type="gramEnd"/>
            <w:r w:rsidRPr="0006280B">
              <w:rPr>
                <w:rFonts w:ascii="Calibri" w:eastAsia="Times New Roman" w:hAnsi="Calibri" w:cs="Calibri"/>
                <w:b/>
                <w:bCs/>
                <w:color w:val="000000"/>
                <w:sz w:val="36"/>
                <w:szCs w:val="36"/>
              </w:rPr>
              <w:t xml:space="preserve"> women’s earnings absorbed by childcare</w:t>
            </w:r>
          </w:p>
        </w:tc>
      </w:tr>
      <w:tr w:rsidR="00565595" w:rsidRPr="0006280B" w14:paraId="7E3B0C0B" w14:textId="77777777" w:rsidTr="00565595">
        <w:trPr>
          <w:trHeight w:val="324"/>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14:paraId="54268192" w14:textId="77777777" w:rsidR="00565595" w:rsidRPr="0006280B" w:rsidRDefault="00565595" w:rsidP="00A36DE8">
            <w:pPr>
              <w:rPr>
                <w:rFonts w:ascii="Calibri" w:eastAsia="Times New Roman" w:hAnsi="Calibri" w:cs="Calibri"/>
                <w:color w:val="000000"/>
                <w:sz w:val="36"/>
                <w:szCs w:val="36"/>
              </w:rPr>
            </w:pPr>
            <w:r w:rsidRPr="0006280B">
              <w:rPr>
                <w:rFonts w:ascii="Calibri" w:eastAsia="Times New Roman" w:hAnsi="Calibri" w:cs="Calibri"/>
                <w:color w:val="000000"/>
                <w:sz w:val="36"/>
                <w:szCs w:val="36"/>
              </w:rPr>
              <w:t>3-4-year-olds (part-time)</w:t>
            </w:r>
          </w:p>
        </w:tc>
        <w:tc>
          <w:tcPr>
            <w:tcW w:w="1127" w:type="dxa"/>
            <w:tcBorders>
              <w:top w:val="nil"/>
              <w:left w:val="nil"/>
              <w:bottom w:val="single" w:sz="4" w:space="0" w:color="auto"/>
              <w:right w:val="single" w:sz="4" w:space="0" w:color="auto"/>
            </w:tcBorders>
            <w:shd w:val="clear" w:color="auto" w:fill="auto"/>
            <w:noWrap/>
            <w:vAlign w:val="bottom"/>
            <w:hideMark/>
          </w:tcPr>
          <w:p w14:paraId="6445A417" w14:textId="77777777" w:rsidR="00565595" w:rsidRPr="0006280B" w:rsidRDefault="00565595" w:rsidP="00A36DE8">
            <w:pPr>
              <w:jc w:val="center"/>
              <w:rPr>
                <w:rFonts w:ascii="Calibri" w:eastAsia="Times New Roman" w:hAnsi="Calibri" w:cs="Calibri"/>
                <w:color w:val="000000"/>
                <w:sz w:val="36"/>
                <w:szCs w:val="36"/>
              </w:rPr>
            </w:pPr>
            <w:r w:rsidRPr="0006280B">
              <w:rPr>
                <w:rFonts w:ascii="Calibri" w:eastAsia="Times New Roman" w:hAnsi="Calibri" w:cs="Calibri"/>
                <w:color w:val="000000"/>
                <w:sz w:val="36"/>
                <w:szCs w:val="36"/>
              </w:rPr>
              <w:t xml:space="preserve">£2,727 </w:t>
            </w:r>
          </w:p>
        </w:tc>
        <w:tc>
          <w:tcPr>
            <w:tcW w:w="2068" w:type="dxa"/>
            <w:tcBorders>
              <w:top w:val="nil"/>
              <w:left w:val="nil"/>
              <w:bottom w:val="single" w:sz="4" w:space="0" w:color="auto"/>
              <w:right w:val="single" w:sz="4" w:space="0" w:color="auto"/>
            </w:tcBorders>
            <w:shd w:val="clear" w:color="auto" w:fill="auto"/>
            <w:noWrap/>
            <w:vAlign w:val="bottom"/>
            <w:hideMark/>
          </w:tcPr>
          <w:p w14:paraId="5EB4EF54" w14:textId="77777777" w:rsidR="00565595" w:rsidRPr="0006280B" w:rsidRDefault="00565595" w:rsidP="00A36DE8">
            <w:pPr>
              <w:jc w:val="center"/>
              <w:rPr>
                <w:rFonts w:ascii="Calibri" w:eastAsia="Times New Roman" w:hAnsi="Calibri" w:cs="Calibri"/>
                <w:color w:val="000000"/>
                <w:sz w:val="36"/>
                <w:szCs w:val="36"/>
              </w:rPr>
            </w:pPr>
            <w:r w:rsidRPr="0006280B">
              <w:rPr>
                <w:rFonts w:ascii="Calibri" w:eastAsia="Times New Roman" w:hAnsi="Calibri" w:cs="Calibri"/>
                <w:color w:val="000000"/>
                <w:sz w:val="36"/>
                <w:szCs w:val="36"/>
              </w:rPr>
              <w:t xml:space="preserve">£11,226 </w:t>
            </w:r>
          </w:p>
        </w:tc>
        <w:tc>
          <w:tcPr>
            <w:tcW w:w="2068" w:type="dxa"/>
            <w:tcBorders>
              <w:top w:val="nil"/>
              <w:left w:val="nil"/>
              <w:bottom w:val="single" w:sz="4" w:space="0" w:color="auto"/>
              <w:right w:val="single" w:sz="4" w:space="0" w:color="auto"/>
            </w:tcBorders>
            <w:shd w:val="clear" w:color="auto" w:fill="auto"/>
            <w:noWrap/>
            <w:vAlign w:val="bottom"/>
            <w:hideMark/>
          </w:tcPr>
          <w:p w14:paraId="5E4E55B6" w14:textId="77777777" w:rsidR="00565595" w:rsidRPr="0006280B" w:rsidRDefault="00565595" w:rsidP="00A36DE8">
            <w:pPr>
              <w:jc w:val="center"/>
              <w:rPr>
                <w:rFonts w:ascii="Calibri" w:eastAsia="Times New Roman" w:hAnsi="Calibri" w:cs="Calibri"/>
                <w:color w:val="000000"/>
                <w:sz w:val="36"/>
                <w:szCs w:val="36"/>
              </w:rPr>
            </w:pPr>
            <w:r w:rsidRPr="0006280B">
              <w:rPr>
                <w:rFonts w:ascii="Calibri" w:eastAsia="Times New Roman" w:hAnsi="Calibri" w:cs="Calibri"/>
                <w:color w:val="000000"/>
                <w:sz w:val="36"/>
                <w:szCs w:val="36"/>
              </w:rPr>
              <w:t>24%</w:t>
            </w:r>
          </w:p>
        </w:tc>
      </w:tr>
      <w:tr w:rsidR="00565595" w:rsidRPr="0006280B" w14:paraId="4BED1261" w14:textId="77777777" w:rsidTr="00565595">
        <w:trPr>
          <w:trHeight w:val="324"/>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14:paraId="3A49F589" w14:textId="77777777" w:rsidR="00565595" w:rsidRPr="0006280B" w:rsidRDefault="00565595" w:rsidP="00A36DE8">
            <w:pPr>
              <w:rPr>
                <w:rFonts w:ascii="Calibri" w:eastAsia="Times New Roman" w:hAnsi="Calibri" w:cs="Calibri"/>
                <w:color w:val="000000"/>
                <w:sz w:val="36"/>
                <w:szCs w:val="36"/>
              </w:rPr>
            </w:pPr>
            <w:r w:rsidRPr="0006280B">
              <w:rPr>
                <w:rFonts w:ascii="Calibri" w:eastAsia="Times New Roman" w:hAnsi="Calibri" w:cs="Calibri"/>
                <w:color w:val="000000"/>
                <w:sz w:val="36"/>
                <w:szCs w:val="36"/>
              </w:rPr>
              <w:t>3-4-year-olds (full-time)</w:t>
            </w:r>
          </w:p>
        </w:tc>
        <w:tc>
          <w:tcPr>
            <w:tcW w:w="1127" w:type="dxa"/>
            <w:tcBorders>
              <w:top w:val="nil"/>
              <w:left w:val="nil"/>
              <w:bottom w:val="single" w:sz="4" w:space="0" w:color="auto"/>
              <w:right w:val="single" w:sz="4" w:space="0" w:color="auto"/>
            </w:tcBorders>
            <w:shd w:val="clear" w:color="auto" w:fill="auto"/>
            <w:noWrap/>
            <w:vAlign w:val="bottom"/>
            <w:hideMark/>
          </w:tcPr>
          <w:p w14:paraId="425D6635" w14:textId="77777777" w:rsidR="00565595" w:rsidRPr="0006280B" w:rsidRDefault="00565595" w:rsidP="00A36DE8">
            <w:pPr>
              <w:jc w:val="center"/>
              <w:rPr>
                <w:rFonts w:ascii="Calibri" w:eastAsia="Times New Roman" w:hAnsi="Calibri" w:cs="Calibri"/>
                <w:color w:val="000000"/>
                <w:sz w:val="36"/>
                <w:szCs w:val="36"/>
              </w:rPr>
            </w:pPr>
            <w:r w:rsidRPr="0006280B">
              <w:rPr>
                <w:rFonts w:ascii="Calibri" w:eastAsia="Times New Roman" w:hAnsi="Calibri" w:cs="Calibri"/>
                <w:color w:val="000000"/>
                <w:sz w:val="36"/>
                <w:szCs w:val="36"/>
              </w:rPr>
              <w:t xml:space="preserve">£5,282 </w:t>
            </w:r>
          </w:p>
        </w:tc>
        <w:tc>
          <w:tcPr>
            <w:tcW w:w="2068" w:type="dxa"/>
            <w:tcBorders>
              <w:top w:val="nil"/>
              <w:left w:val="nil"/>
              <w:bottom w:val="single" w:sz="4" w:space="0" w:color="auto"/>
              <w:right w:val="single" w:sz="4" w:space="0" w:color="auto"/>
            </w:tcBorders>
            <w:shd w:val="clear" w:color="auto" w:fill="auto"/>
            <w:noWrap/>
            <w:vAlign w:val="bottom"/>
            <w:hideMark/>
          </w:tcPr>
          <w:p w14:paraId="1426C624" w14:textId="77777777" w:rsidR="00565595" w:rsidRPr="0006280B" w:rsidRDefault="00565595" w:rsidP="00A36DE8">
            <w:pPr>
              <w:jc w:val="center"/>
              <w:rPr>
                <w:rFonts w:ascii="Calibri" w:eastAsia="Times New Roman" w:hAnsi="Calibri" w:cs="Calibri"/>
                <w:color w:val="000000"/>
                <w:sz w:val="36"/>
                <w:szCs w:val="36"/>
              </w:rPr>
            </w:pPr>
            <w:r w:rsidRPr="0006280B">
              <w:rPr>
                <w:rFonts w:ascii="Calibri" w:eastAsia="Times New Roman" w:hAnsi="Calibri" w:cs="Calibri"/>
                <w:color w:val="000000"/>
                <w:sz w:val="36"/>
                <w:szCs w:val="36"/>
              </w:rPr>
              <w:t xml:space="preserve">£28,077 </w:t>
            </w:r>
          </w:p>
        </w:tc>
        <w:tc>
          <w:tcPr>
            <w:tcW w:w="2068" w:type="dxa"/>
            <w:tcBorders>
              <w:top w:val="nil"/>
              <w:left w:val="nil"/>
              <w:bottom w:val="single" w:sz="4" w:space="0" w:color="auto"/>
              <w:right w:val="single" w:sz="4" w:space="0" w:color="auto"/>
            </w:tcBorders>
            <w:shd w:val="clear" w:color="auto" w:fill="auto"/>
            <w:noWrap/>
            <w:vAlign w:val="bottom"/>
            <w:hideMark/>
          </w:tcPr>
          <w:p w14:paraId="2E8C001D" w14:textId="77777777" w:rsidR="00565595" w:rsidRPr="0006280B" w:rsidRDefault="00565595" w:rsidP="00A36DE8">
            <w:pPr>
              <w:jc w:val="center"/>
              <w:rPr>
                <w:rFonts w:ascii="Calibri" w:eastAsia="Times New Roman" w:hAnsi="Calibri" w:cs="Calibri"/>
                <w:color w:val="000000"/>
                <w:sz w:val="36"/>
                <w:szCs w:val="36"/>
              </w:rPr>
            </w:pPr>
            <w:r w:rsidRPr="0006280B">
              <w:rPr>
                <w:rFonts w:ascii="Calibri" w:eastAsia="Times New Roman" w:hAnsi="Calibri" w:cs="Calibri"/>
                <w:color w:val="000000"/>
                <w:sz w:val="36"/>
                <w:szCs w:val="36"/>
              </w:rPr>
              <w:t>19%</w:t>
            </w:r>
          </w:p>
        </w:tc>
      </w:tr>
    </w:tbl>
    <w:p w14:paraId="6D378EDF" w14:textId="6F1448FA" w:rsidR="00565595" w:rsidRPr="0006280B" w:rsidRDefault="00565595" w:rsidP="000605CE">
      <w:pPr>
        <w:rPr>
          <w:i/>
          <w:iCs/>
          <w:sz w:val="36"/>
          <w:szCs w:val="36"/>
        </w:rPr>
      </w:pPr>
      <w:r w:rsidRPr="0006280B">
        <w:rPr>
          <w:i/>
          <w:iCs/>
          <w:sz w:val="36"/>
          <w:szCs w:val="36"/>
        </w:rPr>
        <w:t>Source: Women’s Budget Group calculations using Coram’s Annual Childcare Survey 2021 and the Annual Survey of Hours and Earnings (ASHE), table 3.71</w:t>
      </w:r>
    </w:p>
    <w:p w14:paraId="44EA4FC6" w14:textId="77777777" w:rsidR="00037CD3" w:rsidRPr="0006280B" w:rsidRDefault="00037CD3" w:rsidP="00037CD3">
      <w:pPr>
        <w:rPr>
          <w:sz w:val="36"/>
          <w:szCs w:val="36"/>
        </w:rPr>
      </w:pPr>
    </w:p>
    <w:p w14:paraId="6C033E29" w14:textId="46C9C986" w:rsidR="00037CD3" w:rsidRPr="0006280B" w:rsidRDefault="00037CD3" w:rsidP="00037CD3">
      <w:pPr>
        <w:rPr>
          <w:sz w:val="36"/>
          <w:szCs w:val="36"/>
        </w:rPr>
      </w:pPr>
      <w:r w:rsidRPr="0006280B">
        <w:rPr>
          <w:sz w:val="36"/>
          <w:szCs w:val="36"/>
        </w:rPr>
        <w:t>Calculations from the Women’s Budget Group f</w:t>
      </w:r>
      <w:r w:rsidR="000605CE" w:rsidRPr="0006280B">
        <w:rPr>
          <w:sz w:val="36"/>
          <w:szCs w:val="36"/>
        </w:rPr>
        <w:t>ound</w:t>
      </w:r>
      <w:r w:rsidRPr="0006280B">
        <w:rPr>
          <w:sz w:val="36"/>
          <w:szCs w:val="36"/>
        </w:rPr>
        <w:t xml:space="preserve"> that women in Great Britain with 3- and 4-year-olds spend </w:t>
      </w:r>
      <w:r w:rsidR="00B1489F" w:rsidRPr="0006280B">
        <w:rPr>
          <w:sz w:val="36"/>
          <w:szCs w:val="36"/>
        </w:rPr>
        <w:t>a quarter (</w:t>
      </w:r>
      <w:r w:rsidRPr="0006280B">
        <w:rPr>
          <w:sz w:val="36"/>
          <w:szCs w:val="36"/>
        </w:rPr>
        <w:t>24%</w:t>
      </w:r>
      <w:r w:rsidR="00B1489F" w:rsidRPr="0006280B">
        <w:rPr>
          <w:sz w:val="36"/>
          <w:szCs w:val="36"/>
        </w:rPr>
        <w:t>)</w:t>
      </w:r>
      <w:r w:rsidRPr="0006280B">
        <w:rPr>
          <w:sz w:val="36"/>
          <w:szCs w:val="36"/>
        </w:rPr>
        <w:t xml:space="preserve"> of their earnings on part-time childcare, after accounting for the free childcare entitlements. The same type of childcare for under </w:t>
      </w:r>
      <w:r w:rsidR="00B84730" w:rsidRPr="0006280B">
        <w:rPr>
          <w:sz w:val="36"/>
          <w:szCs w:val="36"/>
        </w:rPr>
        <w:t>three-year-olds</w:t>
      </w:r>
      <w:r w:rsidRPr="0006280B">
        <w:rPr>
          <w:sz w:val="36"/>
          <w:szCs w:val="36"/>
        </w:rPr>
        <w:t xml:space="preserve"> absorb</w:t>
      </w:r>
      <w:r w:rsidR="00B1489F" w:rsidRPr="0006280B">
        <w:rPr>
          <w:sz w:val="36"/>
          <w:szCs w:val="36"/>
        </w:rPr>
        <w:t>s</w:t>
      </w:r>
      <w:r w:rsidRPr="0006280B">
        <w:rPr>
          <w:sz w:val="36"/>
          <w:szCs w:val="36"/>
        </w:rPr>
        <w:t xml:space="preserve"> </w:t>
      </w:r>
      <w:r w:rsidR="00B1489F" w:rsidRPr="0006280B">
        <w:rPr>
          <w:sz w:val="36"/>
          <w:szCs w:val="36"/>
        </w:rPr>
        <w:t>nearly two-thirds</w:t>
      </w:r>
      <w:r w:rsidRPr="0006280B">
        <w:rPr>
          <w:sz w:val="36"/>
          <w:szCs w:val="36"/>
        </w:rPr>
        <w:t xml:space="preserve"> (63%) of their income. The </w:t>
      </w:r>
      <w:r w:rsidR="00B1489F" w:rsidRPr="0006280B">
        <w:rPr>
          <w:sz w:val="36"/>
          <w:szCs w:val="36"/>
        </w:rPr>
        <w:t xml:space="preserve">significant </w:t>
      </w:r>
      <w:r w:rsidRPr="0006280B">
        <w:rPr>
          <w:sz w:val="36"/>
          <w:szCs w:val="36"/>
        </w:rPr>
        <w:t xml:space="preserve">difference </w:t>
      </w:r>
      <w:r w:rsidR="00B1489F" w:rsidRPr="0006280B">
        <w:rPr>
          <w:sz w:val="36"/>
          <w:szCs w:val="36"/>
        </w:rPr>
        <w:t>reflects the importance of the free entitlements that only kick in for most children after age 3</w:t>
      </w:r>
      <w:r w:rsidRPr="0006280B">
        <w:rPr>
          <w:sz w:val="36"/>
          <w:szCs w:val="36"/>
        </w:rPr>
        <w:t xml:space="preserve">. </w:t>
      </w:r>
    </w:p>
    <w:p w14:paraId="0763A548" w14:textId="3E90B515" w:rsidR="000605CE" w:rsidRPr="0006280B" w:rsidRDefault="000605CE" w:rsidP="00037CD3">
      <w:pPr>
        <w:rPr>
          <w:sz w:val="36"/>
          <w:szCs w:val="36"/>
        </w:rPr>
      </w:pPr>
    </w:p>
    <w:p w14:paraId="30328531" w14:textId="488E50D4" w:rsidR="00A81ABE" w:rsidRPr="0006280B" w:rsidRDefault="00A81ABE" w:rsidP="000E30C2">
      <w:pPr>
        <w:rPr>
          <w:b/>
          <w:bCs/>
          <w:color w:val="7030A0"/>
          <w:sz w:val="36"/>
          <w:szCs w:val="36"/>
          <w:u w:val="single"/>
        </w:rPr>
      </w:pPr>
      <w:r w:rsidRPr="0006280B">
        <w:rPr>
          <w:b/>
          <w:bCs/>
          <w:color w:val="7030A0"/>
          <w:sz w:val="36"/>
          <w:szCs w:val="36"/>
          <w:u w:val="single"/>
        </w:rPr>
        <w:t>Northern Ireland</w:t>
      </w:r>
    </w:p>
    <w:p w14:paraId="0259F332" w14:textId="4644E163" w:rsidR="00A81ABE" w:rsidRPr="0006280B" w:rsidRDefault="00A81ABE" w:rsidP="00A81ABE">
      <w:pPr>
        <w:rPr>
          <w:sz w:val="36"/>
          <w:szCs w:val="36"/>
        </w:rPr>
      </w:pPr>
      <w:r w:rsidRPr="0006280B">
        <w:rPr>
          <w:sz w:val="36"/>
          <w:szCs w:val="36"/>
        </w:rPr>
        <w:lastRenderedPageBreak/>
        <w:t>Employers for Childcare carried out a survey on childcare in Northern Ireland in 2020 which explored the views of parents and childcare providers. The survey found that in Northern Ireland, the average cost of a full-time childcare place in nursery is £181 per week, or £9,412 per year, and that one third of parents said that childcare is their largest monthly outgoing, exceeding their mortgage or rent payment.</w:t>
      </w:r>
      <w:r w:rsidRPr="0006280B">
        <w:rPr>
          <w:rStyle w:val="FootnoteReference"/>
          <w:sz w:val="36"/>
          <w:szCs w:val="36"/>
        </w:rPr>
        <w:footnoteReference w:id="13"/>
      </w:r>
      <w:r w:rsidRPr="0006280B">
        <w:rPr>
          <w:sz w:val="36"/>
          <w:szCs w:val="36"/>
        </w:rPr>
        <w:t xml:space="preserve"> </w:t>
      </w:r>
      <w:r w:rsidR="00B1489F" w:rsidRPr="0006280B">
        <w:rPr>
          <w:sz w:val="36"/>
          <w:szCs w:val="36"/>
        </w:rPr>
        <w:t>In Northern Ireland, 3- and 4-year-olds are only entitled to 12.5 hours/week of free childcare, with more rigid rules of provision than in the rest of the UK.</w:t>
      </w:r>
    </w:p>
    <w:p w14:paraId="7A38F830" w14:textId="77777777" w:rsidR="00C848A1" w:rsidRPr="0006280B" w:rsidRDefault="00C848A1" w:rsidP="005D2D9D">
      <w:pPr>
        <w:rPr>
          <w:b/>
          <w:bCs/>
          <w:sz w:val="36"/>
          <w:szCs w:val="36"/>
        </w:rPr>
      </w:pPr>
    </w:p>
    <w:p w14:paraId="73D3648C" w14:textId="4F658B06" w:rsidR="00415CC5" w:rsidRPr="0006280B" w:rsidRDefault="00415CC5" w:rsidP="005D2D9D">
      <w:pPr>
        <w:rPr>
          <w:b/>
          <w:bCs/>
          <w:i/>
          <w:iCs/>
          <w:color w:val="7030A0"/>
          <w:sz w:val="36"/>
          <w:szCs w:val="36"/>
        </w:rPr>
      </w:pPr>
      <w:r w:rsidRPr="0006280B">
        <w:rPr>
          <w:b/>
          <w:bCs/>
          <w:i/>
          <w:iCs/>
          <w:color w:val="7030A0"/>
          <w:sz w:val="36"/>
          <w:szCs w:val="36"/>
        </w:rPr>
        <w:t>Impact of Coronavirus</w:t>
      </w:r>
      <w:r w:rsidR="00AB2CFA" w:rsidRPr="0006280B">
        <w:rPr>
          <w:b/>
          <w:bCs/>
          <w:i/>
          <w:iCs/>
          <w:color w:val="7030A0"/>
          <w:sz w:val="36"/>
          <w:szCs w:val="36"/>
        </w:rPr>
        <w:t xml:space="preserve"> and childcare closures</w:t>
      </w:r>
    </w:p>
    <w:p w14:paraId="31F4AFF7" w14:textId="130F6422" w:rsidR="00DF72A0" w:rsidRPr="0006280B" w:rsidRDefault="00DF72A0" w:rsidP="00776B59">
      <w:pPr>
        <w:rPr>
          <w:sz w:val="36"/>
          <w:szCs w:val="36"/>
        </w:rPr>
      </w:pPr>
    </w:p>
    <w:p w14:paraId="5902303D" w14:textId="032C3C9C" w:rsidR="00B84730" w:rsidRPr="0006280B" w:rsidRDefault="00DF72A0" w:rsidP="004A251F">
      <w:pPr>
        <w:rPr>
          <w:sz w:val="36"/>
          <w:szCs w:val="36"/>
        </w:rPr>
      </w:pPr>
      <w:r w:rsidRPr="0006280B">
        <w:rPr>
          <w:sz w:val="36"/>
          <w:szCs w:val="36"/>
        </w:rPr>
        <w:t xml:space="preserve">The impacts of Covid-19 on the childcare sector vary significantly between areas depending on the structure of the childcare market and the local effects of Covid-19. In its 2021 survey, The Coram Childcare and Family Trust reported that childcare usage had dropped in </w:t>
      </w:r>
      <w:r w:rsidR="00B43EBE" w:rsidRPr="0006280B">
        <w:rPr>
          <w:sz w:val="36"/>
          <w:szCs w:val="36"/>
        </w:rPr>
        <w:t>most</w:t>
      </w:r>
      <w:r w:rsidRPr="0006280B">
        <w:rPr>
          <w:sz w:val="36"/>
          <w:szCs w:val="36"/>
        </w:rPr>
        <w:t xml:space="preserve"> local authority areas and 35% of local authorities</w:t>
      </w:r>
      <w:r w:rsidR="00706004" w:rsidRPr="0006280B">
        <w:rPr>
          <w:sz w:val="36"/>
          <w:szCs w:val="36"/>
        </w:rPr>
        <w:t xml:space="preserve"> in England</w:t>
      </w:r>
      <w:r w:rsidRPr="0006280B">
        <w:rPr>
          <w:sz w:val="36"/>
          <w:szCs w:val="36"/>
        </w:rPr>
        <w:t xml:space="preserve"> reported an increase in the number of providers permanently closing.</w:t>
      </w:r>
      <w:r w:rsidRPr="0006280B">
        <w:rPr>
          <w:rStyle w:val="FootnoteReference"/>
          <w:sz w:val="36"/>
          <w:szCs w:val="36"/>
        </w:rPr>
        <w:footnoteReference w:id="14"/>
      </w:r>
      <w:r w:rsidRPr="0006280B">
        <w:rPr>
          <w:sz w:val="36"/>
          <w:szCs w:val="36"/>
        </w:rPr>
        <w:t xml:space="preserve"> </w:t>
      </w:r>
    </w:p>
    <w:p w14:paraId="531DF01B" w14:textId="77777777" w:rsidR="004A251F" w:rsidRPr="0006280B" w:rsidRDefault="004A251F" w:rsidP="004A251F">
      <w:pPr>
        <w:rPr>
          <w:sz w:val="36"/>
          <w:szCs w:val="36"/>
        </w:rPr>
      </w:pPr>
    </w:p>
    <w:p w14:paraId="24954174" w14:textId="77777777" w:rsidR="003326F4" w:rsidRPr="0006280B" w:rsidRDefault="004378FA" w:rsidP="004378FA">
      <w:pPr>
        <w:rPr>
          <w:sz w:val="36"/>
          <w:szCs w:val="36"/>
        </w:rPr>
      </w:pPr>
      <w:bookmarkStart w:id="2" w:name="OLE_LINK7"/>
      <w:bookmarkStart w:id="3" w:name="OLE_LINK8"/>
      <w:bookmarkStart w:id="4" w:name="OLE_LINK9"/>
      <w:bookmarkStart w:id="5" w:name="OLE_LINK10"/>
      <w:r w:rsidRPr="0006280B">
        <w:rPr>
          <w:sz w:val="36"/>
          <w:szCs w:val="36"/>
        </w:rPr>
        <w:t>In the period between August 2020-March 2021, Ofsted data showed a net loss of 4.4% of childcare providers and a net loss of 1.1% of childcare places in England. This means 3</w:t>
      </w:r>
      <w:r w:rsidR="000E570C" w:rsidRPr="0006280B">
        <w:rPr>
          <w:sz w:val="36"/>
          <w:szCs w:val="36"/>
        </w:rPr>
        <w:t>,</w:t>
      </w:r>
      <w:r w:rsidRPr="0006280B">
        <w:rPr>
          <w:sz w:val="36"/>
          <w:szCs w:val="36"/>
        </w:rPr>
        <w:t xml:space="preserve">292 fewer childcare providers and 14,385 fewer childcare places in March 2021 compared to August 2020. </w:t>
      </w:r>
      <w:r w:rsidR="000E570C" w:rsidRPr="0006280B">
        <w:rPr>
          <w:sz w:val="36"/>
          <w:szCs w:val="36"/>
        </w:rPr>
        <w:t xml:space="preserve">7,566 providers closed during this period, and </w:t>
      </w:r>
      <w:r w:rsidR="003326F4" w:rsidRPr="0006280B">
        <w:rPr>
          <w:sz w:val="36"/>
          <w:szCs w:val="36"/>
        </w:rPr>
        <w:t xml:space="preserve">64,173 places were lost. </w:t>
      </w:r>
      <w:r w:rsidRPr="0006280B">
        <w:rPr>
          <w:sz w:val="36"/>
          <w:szCs w:val="36"/>
        </w:rPr>
        <w:t xml:space="preserve">This decrease in </w:t>
      </w:r>
      <w:r w:rsidR="003326F4" w:rsidRPr="0006280B">
        <w:rPr>
          <w:sz w:val="36"/>
          <w:szCs w:val="36"/>
        </w:rPr>
        <w:t xml:space="preserve">providers and </w:t>
      </w:r>
      <w:r w:rsidRPr="0006280B">
        <w:rPr>
          <w:sz w:val="36"/>
          <w:szCs w:val="36"/>
        </w:rPr>
        <w:t xml:space="preserve">places was largely driven by </w:t>
      </w:r>
      <w:r w:rsidRPr="0006280B">
        <w:rPr>
          <w:sz w:val="36"/>
          <w:szCs w:val="36"/>
        </w:rPr>
        <w:lastRenderedPageBreak/>
        <w:t>childminders leaving the market, with Ofsted data showing a 5.1% decrease in childcare places provided by registered childminders.</w:t>
      </w:r>
      <w:r w:rsidRPr="0006280B">
        <w:rPr>
          <w:rStyle w:val="FootnoteReference"/>
          <w:sz w:val="36"/>
          <w:szCs w:val="36"/>
        </w:rPr>
        <w:footnoteReference w:id="15"/>
      </w:r>
      <w:r w:rsidRPr="0006280B">
        <w:rPr>
          <w:sz w:val="36"/>
          <w:szCs w:val="36"/>
        </w:rPr>
        <w:t xml:space="preserve"> </w:t>
      </w:r>
    </w:p>
    <w:p w14:paraId="59F4D42D" w14:textId="77777777" w:rsidR="003326F4" w:rsidRPr="0006280B" w:rsidRDefault="003326F4" w:rsidP="004378FA">
      <w:pPr>
        <w:rPr>
          <w:sz w:val="36"/>
          <w:szCs w:val="36"/>
        </w:rPr>
      </w:pPr>
    </w:p>
    <w:p w14:paraId="425EE443" w14:textId="0CFCD144" w:rsidR="004378FA" w:rsidRPr="0006280B" w:rsidRDefault="004378FA" w:rsidP="004378FA">
      <w:pPr>
        <w:rPr>
          <w:sz w:val="36"/>
          <w:szCs w:val="36"/>
        </w:rPr>
      </w:pPr>
      <w:r w:rsidRPr="0006280B">
        <w:rPr>
          <w:sz w:val="36"/>
          <w:szCs w:val="36"/>
        </w:rPr>
        <w:t>The pace at which childcare places are being lost seems to be increasing. While in the period March-August 2020, Ofsted data showed a net loss of 0.3% of childcare providers and a net loss of 0.2% of childcare places in England</w:t>
      </w:r>
      <w:r w:rsidRPr="0006280B">
        <w:rPr>
          <w:rStyle w:val="FootnoteReference"/>
          <w:sz w:val="36"/>
          <w:szCs w:val="36"/>
        </w:rPr>
        <w:footnoteReference w:id="16"/>
      </w:r>
      <w:r w:rsidRPr="0006280B">
        <w:rPr>
          <w:sz w:val="36"/>
          <w:szCs w:val="36"/>
        </w:rPr>
        <w:t xml:space="preserve">, in the latest period Aug-Mar 20/21 we are seeing a net loss of 4.4% of childcare providers and net loss of 1.1% of childcare places. </w:t>
      </w:r>
    </w:p>
    <w:p w14:paraId="4D67A73F" w14:textId="77777777" w:rsidR="004378FA" w:rsidRPr="0006280B" w:rsidRDefault="004378FA" w:rsidP="004378FA">
      <w:pPr>
        <w:rPr>
          <w:sz w:val="36"/>
          <w:szCs w:val="36"/>
        </w:rPr>
      </w:pPr>
    </w:p>
    <w:p w14:paraId="1C87EB9D" w14:textId="77777777" w:rsidR="004378FA" w:rsidRPr="0006280B" w:rsidRDefault="004378FA" w:rsidP="004378FA">
      <w:pPr>
        <w:rPr>
          <w:sz w:val="36"/>
          <w:szCs w:val="36"/>
        </w:rPr>
      </w:pPr>
      <w:r w:rsidRPr="0006280B">
        <w:rPr>
          <w:sz w:val="36"/>
          <w:szCs w:val="36"/>
        </w:rPr>
        <w:t xml:space="preserve">These figures are reversing a trend of increase in childcare places in the years before the pandemic. </w:t>
      </w:r>
      <w:bookmarkEnd w:id="2"/>
      <w:bookmarkEnd w:id="3"/>
      <w:r w:rsidRPr="0006280B">
        <w:rPr>
          <w:sz w:val="36"/>
          <w:szCs w:val="36"/>
        </w:rPr>
        <w:t>In both 2019</w:t>
      </w:r>
      <w:r w:rsidRPr="0006280B">
        <w:rPr>
          <w:rStyle w:val="FootnoteReference"/>
          <w:sz w:val="36"/>
          <w:szCs w:val="36"/>
        </w:rPr>
        <w:footnoteReference w:id="17"/>
      </w:r>
      <w:r w:rsidRPr="0006280B">
        <w:rPr>
          <w:sz w:val="36"/>
          <w:szCs w:val="36"/>
        </w:rPr>
        <w:t xml:space="preserve"> and 2018</w:t>
      </w:r>
      <w:r w:rsidRPr="0006280B">
        <w:rPr>
          <w:rStyle w:val="FootnoteReference"/>
          <w:sz w:val="36"/>
          <w:szCs w:val="36"/>
        </w:rPr>
        <w:footnoteReference w:id="18"/>
      </w:r>
      <w:r w:rsidRPr="0006280B">
        <w:rPr>
          <w:sz w:val="36"/>
          <w:szCs w:val="36"/>
        </w:rPr>
        <w:t xml:space="preserve">, Ofsted showed similar levels of net losses of childcare providers (0.5% and 0.9% respectively) but net gains in places (0.7% in 2019 and 0.9% in 2018). </w:t>
      </w:r>
    </w:p>
    <w:p w14:paraId="2566A3B4" w14:textId="77777777" w:rsidR="004378FA" w:rsidRPr="0006280B" w:rsidRDefault="004378FA" w:rsidP="004378FA">
      <w:pPr>
        <w:rPr>
          <w:sz w:val="36"/>
          <w:szCs w:val="36"/>
        </w:rPr>
      </w:pPr>
    </w:p>
    <w:p w14:paraId="60A18B1A" w14:textId="754AC693" w:rsidR="00C9573B" w:rsidRPr="0006280B" w:rsidRDefault="004378FA" w:rsidP="009377B9">
      <w:pPr>
        <w:rPr>
          <w:sz w:val="36"/>
          <w:szCs w:val="36"/>
        </w:rPr>
      </w:pPr>
      <w:r w:rsidRPr="0006280B">
        <w:rPr>
          <w:sz w:val="36"/>
          <w:szCs w:val="36"/>
        </w:rPr>
        <w:t xml:space="preserve">With demand for places predicted to increase as the economy reopens over the summer and the furlough scheme ending in the autumn, there is uncertainty about the ability of the childcare sector to cope. It is also important to note that the loss of childcare places being driven by childminders leaving the market may make things more difficult for families as childminders generally cost less than nurseries. These closures and place losses have not led to significant changes in the availability of childcare, but this is thought to </w:t>
      </w:r>
      <w:r w:rsidRPr="0006280B">
        <w:rPr>
          <w:sz w:val="36"/>
          <w:szCs w:val="36"/>
        </w:rPr>
        <w:lastRenderedPageBreak/>
        <w:t>be due to the decrease in the use of childcare since last year. It is yet to be seen whether there will be a decrease in the availability of childcare if/when demand returns to pre-pandemic levels. However, the Coram report does express concern around possible increasing gaps for children with Special Educational Need and Disability (SEND) and school-age children, two groups who already faced persistent shortages. As childcare providers struggle to remain sustainable, with 61% of local authorities in England reporting childcare providers making staff redundant and 48% reporting decreased staff ratios, many providers have had to adjust their business model to remain open.</w:t>
      </w:r>
      <w:r w:rsidRPr="0006280B">
        <w:rPr>
          <w:rStyle w:val="FootnoteReference"/>
          <w:sz w:val="36"/>
          <w:szCs w:val="36"/>
        </w:rPr>
        <w:footnoteReference w:id="19"/>
      </w:r>
      <w:r w:rsidRPr="0006280B">
        <w:rPr>
          <w:sz w:val="36"/>
          <w:szCs w:val="36"/>
        </w:rPr>
        <w:t xml:space="preserve"> </w:t>
      </w:r>
      <w:bookmarkEnd w:id="4"/>
      <w:bookmarkEnd w:id="5"/>
    </w:p>
    <w:p w14:paraId="65EC4F79" w14:textId="77777777" w:rsidR="008A2DDC" w:rsidRPr="0006280B" w:rsidRDefault="008A2DDC" w:rsidP="004B324B">
      <w:pPr>
        <w:rPr>
          <w:b/>
          <w:bCs/>
          <w:i/>
          <w:iCs/>
          <w:color w:val="7030A0"/>
          <w:sz w:val="36"/>
          <w:szCs w:val="36"/>
        </w:rPr>
      </w:pPr>
    </w:p>
    <w:p w14:paraId="53DBF415" w14:textId="33D3FFD1" w:rsidR="008A2DDC" w:rsidRPr="0006280B" w:rsidRDefault="008A2DDC" w:rsidP="00403F80">
      <w:pPr>
        <w:rPr>
          <w:b/>
          <w:bCs/>
          <w:i/>
          <w:iCs/>
          <w:color w:val="7030A0"/>
          <w:sz w:val="36"/>
          <w:szCs w:val="36"/>
        </w:rPr>
      </w:pPr>
      <w:r w:rsidRPr="0006280B">
        <w:rPr>
          <w:b/>
          <w:bCs/>
          <w:i/>
          <w:iCs/>
          <w:color w:val="7030A0"/>
          <w:sz w:val="36"/>
          <w:szCs w:val="36"/>
        </w:rPr>
        <w:t>Conclusion</w:t>
      </w:r>
    </w:p>
    <w:p w14:paraId="40AC0CA3" w14:textId="5330AE85" w:rsidR="008A2DDC" w:rsidRPr="0006280B" w:rsidRDefault="008A2DDC" w:rsidP="00403F80">
      <w:pPr>
        <w:rPr>
          <w:b/>
          <w:bCs/>
          <w:sz w:val="36"/>
          <w:szCs w:val="36"/>
        </w:rPr>
      </w:pPr>
    </w:p>
    <w:p w14:paraId="50264B64" w14:textId="3E5320FD" w:rsidR="008A2DDC" w:rsidRPr="0006280B" w:rsidRDefault="008A2DDC" w:rsidP="008A2DDC">
      <w:pPr>
        <w:rPr>
          <w:sz w:val="36"/>
          <w:szCs w:val="36"/>
        </w:rPr>
      </w:pPr>
      <w:r w:rsidRPr="0006280B">
        <w:rPr>
          <w:sz w:val="36"/>
          <w:szCs w:val="36"/>
        </w:rPr>
        <w:t>Even before the Covid-19 pandemic, childcare reform was urgently needed. The current system provides a limited amount of free childcare for children aged 2-4 with varying amounts between 12.5 hours and 30 hours per week, depending on the age of the child</w:t>
      </w:r>
      <w:r w:rsidR="00C848A1" w:rsidRPr="0006280B">
        <w:rPr>
          <w:sz w:val="36"/>
          <w:szCs w:val="36"/>
        </w:rPr>
        <w:t xml:space="preserve">, </w:t>
      </w:r>
      <w:r w:rsidRPr="0006280B">
        <w:rPr>
          <w:sz w:val="36"/>
          <w:szCs w:val="36"/>
        </w:rPr>
        <w:t>the socio-economic status and employment status of the parents</w:t>
      </w:r>
      <w:r w:rsidR="00C848A1" w:rsidRPr="0006280B">
        <w:rPr>
          <w:sz w:val="36"/>
          <w:szCs w:val="36"/>
        </w:rPr>
        <w:t>, and where they live in the UK</w:t>
      </w:r>
      <w:r w:rsidRPr="0006280B">
        <w:rPr>
          <w:sz w:val="36"/>
          <w:szCs w:val="36"/>
        </w:rPr>
        <w:t>. There is no free provision for</w:t>
      </w:r>
      <w:r w:rsidR="00000266" w:rsidRPr="0006280B">
        <w:rPr>
          <w:sz w:val="36"/>
          <w:szCs w:val="36"/>
        </w:rPr>
        <w:t xml:space="preserve"> all</w:t>
      </w:r>
      <w:r w:rsidRPr="0006280B">
        <w:rPr>
          <w:sz w:val="36"/>
          <w:szCs w:val="36"/>
        </w:rPr>
        <w:t xml:space="preserve"> children under two or for school</w:t>
      </w:r>
      <w:r w:rsidR="00C848A1" w:rsidRPr="0006280B">
        <w:rPr>
          <w:sz w:val="36"/>
          <w:szCs w:val="36"/>
        </w:rPr>
        <w:t>-</w:t>
      </w:r>
      <w:r w:rsidRPr="0006280B">
        <w:rPr>
          <w:sz w:val="36"/>
          <w:szCs w:val="36"/>
        </w:rPr>
        <w:t xml:space="preserve">age children, although further support is available to some parents in the form of Tax-Free Childcare and the childcare element in Universal Credit. Norma Cohen succinctly summarises in her essay on Women in the Labour Market that “the UK was no great bastion of affordable childcare before the pandemic, but without reform and </w:t>
      </w:r>
      <w:r w:rsidRPr="0006280B">
        <w:rPr>
          <w:sz w:val="36"/>
          <w:szCs w:val="36"/>
        </w:rPr>
        <w:lastRenderedPageBreak/>
        <w:t>investment, it risks becoming a true pariah afterwards.”</w:t>
      </w:r>
      <w:r w:rsidRPr="0006280B">
        <w:rPr>
          <w:rStyle w:val="FootnoteReference"/>
          <w:sz w:val="36"/>
          <w:szCs w:val="36"/>
        </w:rPr>
        <w:footnoteReference w:id="20"/>
      </w:r>
      <w:r w:rsidRPr="0006280B">
        <w:rPr>
          <w:sz w:val="36"/>
          <w:szCs w:val="36"/>
        </w:rPr>
        <w:t xml:space="preserve"> Investment in high-quality affordable childcare is crucial for increasing families’ spending power, easing the burden on families living in poverty and improving children’s life chances, as well as removing significant barriers to women’s equal participation in the labour market. </w:t>
      </w:r>
    </w:p>
    <w:p w14:paraId="2806F4AC" w14:textId="77777777" w:rsidR="000E570C" w:rsidRPr="0006280B" w:rsidRDefault="000E570C" w:rsidP="008A2DDC">
      <w:pPr>
        <w:rPr>
          <w:b/>
          <w:bCs/>
          <w:i/>
          <w:iCs/>
          <w:sz w:val="36"/>
          <w:szCs w:val="36"/>
        </w:rPr>
      </w:pPr>
    </w:p>
    <w:p w14:paraId="2ABC9A13" w14:textId="764AA0C7" w:rsidR="00FE69D2" w:rsidRPr="0006280B" w:rsidRDefault="00273892" w:rsidP="008A2DDC">
      <w:pPr>
        <w:rPr>
          <w:b/>
          <w:bCs/>
          <w:i/>
          <w:iCs/>
          <w:sz w:val="36"/>
          <w:szCs w:val="36"/>
        </w:rPr>
      </w:pPr>
      <w:r w:rsidRPr="0006280B">
        <w:rPr>
          <w:b/>
          <w:bCs/>
          <w:i/>
          <w:iCs/>
          <w:sz w:val="36"/>
          <w:szCs w:val="36"/>
        </w:rPr>
        <w:t xml:space="preserve">What </w:t>
      </w:r>
      <w:r w:rsidR="004A251F" w:rsidRPr="0006280B">
        <w:rPr>
          <w:b/>
          <w:bCs/>
          <w:i/>
          <w:iCs/>
          <w:sz w:val="36"/>
          <w:szCs w:val="36"/>
        </w:rPr>
        <w:t>should the government do?</w:t>
      </w:r>
    </w:p>
    <w:p w14:paraId="286FEFE9" w14:textId="77777777" w:rsidR="00273892" w:rsidRPr="0006280B" w:rsidRDefault="00273892" w:rsidP="00403F80">
      <w:pPr>
        <w:rPr>
          <w:b/>
          <w:bCs/>
          <w:sz w:val="36"/>
          <w:szCs w:val="36"/>
        </w:rPr>
      </w:pPr>
    </w:p>
    <w:p w14:paraId="34E8A4EA" w14:textId="79CB23A9" w:rsidR="00403F80" w:rsidRPr="0006280B" w:rsidRDefault="00273892" w:rsidP="00403F80">
      <w:pPr>
        <w:rPr>
          <w:b/>
          <w:bCs/>
          <w:i/>
          <w:iCs/>
          <w:color w:val="7030A0"/>
          <w:sz w:val="36"/>
          <w:szCs w:val="36"/>
        </w:rPr>
      </w:pPr>
      <w:r w:rsidRPr="0006280B">
        <w:rPr>
          <w:b/>
          <w:bCs/>
          <w:i/>
          <w:iCs/>
          <w:color w:val="7030A0"/>
          <w:sz w:val="36"/>
          <w:szCs w:val="36"/>
        </w:rPr>
        <w:t>Urgently – fully fund the free entitlement hours</w:t>
      </w:r>
    </w:p>
    <w:p w14:paraId="069728EC" w14:textId="7C41B679" w:rsidR="00403F80" w:rsidRPr="0006280B" w:rsidRDefault="00403F80" w:rsidP="00403F80">
      <w:pPr>
        <w:rPr>
          <w:b/>
          <w:bCs/>
          <w:sz w:val="36"/>
          <w:szCs w:val="36"/>
        </w:rPr>
      </w:pPr>
    </w:p>
    <w:p w14:paraId="1C1FECB9" w14:textId="14E1EB39" w:rsidR="00711180" w:rsidRPr="0006280B" w:rsidRDefault="00403F80" w:rsidP="0006280B">
      <w:pPr>
        <w:rPr>
          <w:sz w:val="36"/>
          <w:szCs w:val="36"/>
        </w:rPr>
      </w:pPr>
      <w:r w:rsidRPr="0006280B">
        <w:rPr>
          <w:sz w:val="36"/>
          <w:szCs w:val="36"/>
        </w:rPr>
        <w:t>An immediate first step must be</w:t>
      </w:r>
      <w:r w:rsidR="00BA4858" w:rsidRPr="0006280B">
        <w:rPr>
          <w:sz w:val="36"/>
          <w:szCs w:val="36"/>
        </w:rPr>
        <w:t xml:space="preserve"> </w:t>
      </w:r>
      <w:r w:rsidR="00273892" w:rsidRPr="0006280B">
        <w:rPr>
          <w:sz w:val="36"/>
          <w:szCs w:val="36"/>
        </w:rPr>
        <w:t xml:space="preserve">for the government </w:t>
      </w:r>
      <w:r w:rsidR="00BA4858" w:rsidRPr="0006280B">
        <w:rPr>
          <w:sz w:val="36"/>
          <w:szCs w:val="36"/>
        </w:rPr>
        <w:t>to</w:t>
      </w:r>
      <w:r w:rsidRPr="0006280B">
        <w:rPr>
          <w:sz w:val="36"/>
          <w:szCs w:val="36"/>
        </w:rPr>
        <w:t xml:space="preserve"> </w:t>
      </w:r>
      <w:r w:rsidR="00BA4858" w:rsidRPr="0006280B">
        <w:rPr>
          <w:sz w:val="36"/>
          <w:szCs w:val="36"/>
        </w:rPr>
        <w:t xml:space="preserve">fund the free entitlement hours to cover the </w:t>
      </w:r>
      <w:r w:rsidR="00273892" w:rsidRPr="0006280B">
        <w:rPr>
          <w:sz w:val="36"/>
          <w:szCs w:val="36"/>
        </w:rPr>
        <w:t>full</w:t>
      </w:r>
      <w:r w:rsidR="00BA4858" w:rsidRPr="0006280B">
        <w:rPr>
          <w:sz w:val="36"/>
          <w:szCs w:val="36"/>
        </w:rPr>
        <w:t xml:space="preserve"> costs of provision. </w:t>
      </w:r>
      <w:r w:rsidR="00080B63" w:rsidRPr="0006280B">
        <w:rPr>
          <w:sz w:val="36"/>
          <w:szCs w:val="36"/>
        </w:rPr>
        <w:t xml:space="preserve">Given that the average cost of a government-funded early years place for </w:t>
      </w:r>
      <w:r w:rsidR="00273892" w:rsidRPr="0006280B">
        <w:rPr>
          <w:sz w:val="36"/>
          <w:szCs w:val="36"/>
        </w:rPr>
        <w:t>3-</w:t>
      </w:r>
      <w:r w:rsidR="00080B63" w:rsidRPr="0006280B">
        <w:rPr>
          <w:sz w:val="36"/>
          <w:szCs w:val="36"/>
        </w:rPr>
        <w:t xml:space="preserve"> and </w:t>
      </w:r>
      <w:r w:rsidR="00273892" w:rsidRPr="0006280B">
        <w:rPr>
          <w:sz w:val="36"/>
          <w:szCs w:val="36"/>
        </w:rPr>
        <w:t>4-</w:t>
      </w:r>
      <w:r w:rsidR="00080B63" w:rsidRPr="0006280B">
        <w:rPr>
          <w:sz w:val="36"/>
          <w:szCs w:val="36"/>
        </w:rPr>
        <w:t>year</w:t>
      </w:r>
      <w:r w:rsidR="00273892" w:rsidRPr="0006280B">
        <w:rPr>
          <w:sz w:val="36"/>
          <w:szCs w:val="36"/>
        </w:rPr>
        <w:t>-</w:t>
      </w:r>
      <w:r w:rsidR="00080B63" w:rsidRPr="0006280B">
        <w:rPr>
          <w:sz w:val="36"/>
          <w:szCs w:val="36"/>
        </w:rPr>
        <w:t xml:space="preserve">olds was calculated by the government itself to cost £7.49 per hour, the average rate of just £4.89 paid to local authorities for this offer </w:t>
      </w:r>
      <w:r w:rsidR="00542BFC" w:rsidRPr="0006280B">
        <w:rPr>
          <w:sz w:val="36"/>
          <w:szCs w:val="36"/>
        </w:rPr>
        <w:t xml:space="preserve">has contributed to the underfunding that has driven up the cost of parent-paid hours, as providers try to cross-subsidise the funding shortfall of free hours from parent-paid fees. Free entitlement hours that at least cover the cost of provision is the bare minimum of state support that should be provided. </w:t>
      </w:r>
    </w:p>
    <w:p w14:paraId="1AACA1D7" w14:textId="1927C7A5" w:rsidR="00542BFC" w:rsidRPr="0006280B" w:rsidRDefault="00542BFC" w:rsidP="00403F80">
      <w:pPr>
        <w:rPr>
          <w:sz w:val="36"/>
          <w:szCs w:val="36"/>
        </w:rPr>
      </w:pPr>
    </w:p>
    <w:p w14:paraId="2622CAE4" w14:textId="4C0AB513" w:rsidR="00542BFC" w:rsidRPr="0006280B" w:rsidRDefault="00273892" w:rsidP="00403F80">
      <w:pPr>
        <w:rPr>
          <w:b/>
          <w:bCs/>
          <w:i/>
          <w:iCs/>
          <w:color w:val="7030A0"/>
          <w:sz w:val="36"/>
          <w:szCs w:val="36"/>
        </w:rPr>
      </w:pPr>
      <w:r w:rsidRPr="0006280B">
        <w:rPr>
          <w:b/>
          <w:bCs/>
          <w:i/>
          <w:iCs/>
          <w:color w:val="7030A0"/>
          <w:sz w:val="36"/>
          <w:szCs w:val="36"/>
        </w:rPr>
        <w:t xml:space="preserve">Moving in the right direction – </w:t>
      </w:r>
      <w:r w:rsidR="00542BFC" w:rsidRPr="0006280B">
        <w:rPr>
          <w:b/>
          <w:bCs/>
          <w:i/>
          <w:iCs/>
          <w:color w:val="7030A0"/>
          <w:sz w:val="36"/>
          <w:szCs w:val="36"/>
        </w:rPr>
        <w:t>Universal</w:t>
      </w:r>
      <w:r w:rsidRPr="0006280B">
        <w:rPr>
          <w:b/>
          <w:bCs/>
          <w:i/>
          <w:iCs/>
          <w:color w:val="7030A0"/>
          <w:sz w:val="36"/>
          <w:szCs w:val="36"/>
        </w:rPr>
        <w:t xml:space="preserve"> </w:t>
      </w:r>
      <w:r w:rsidR="00542BFC" w:rsidRPr="0006280B">
        <w:rPr>
          <w:b/>
          <w:bCs/>
          <w:i/>
          <w:iCs/>
          <w:color w:val="7030A0"/>
          <w:sz w:val="36"/>
          <w:szCs w:val="36"/>
        </w:rPr>
        <w:t>free childcare</w:t>
      </w:r>
    </w:p>
    <w:p w14:paraId="6763E10C" w14:textId="5093E70E" w:rsidR="00AA5EDA" w:rsidRPr="0006280B" w:rsidRDefault="00AA5EDA" w:rsidP="00403F80">
      <w:pPr>
        <w:rPr>
          <w:b/>
          <w:bCs/>
          <w:sz w:val="36"/>
          <w:szCs w:val="36"/>
        </w:rPr>
      </w:pPr>
    </w:p>
    <w:p w14:paraId="02DB6069" w14:textId="3A099730" w:rsidR="00000266" w:rsidRPr="0006280B" w:rsidRDefault="00AA5EDA" w:rsidP="0006280B">
      <w:pPr>
        <w:rPr>
          <w:rFonts w:cs="Calibri"/>
          <w:sz w:val="36"/>
          <w:szCs w:val="36"/>
        </w:rPr>
      </w:pPr>
      <w:r w:rsidRPr="0006280B">
        <w:rPr>
          <w:sz w:val="36"/>
          <w:szCs w:val="36"/>
        </w:rPr>
        <w:t xml:space="preserve">The UK Women’s Budget advocates for the introduction of </w:t>
      </w:r>
      <w:r w:rsidRPr="0006280B">
        <w:rPr>
          <w:b/>
          <w:bCs/>
          <w:sz w:val="36"/>
          <w:szCs w:val="36"/>
        </w:rPr>
        <w:t>free</w:t>
      </w:r>
      <w:r w:rsidRPr="0006280B">
        <w:rPr>
          <w:sz w:val="36"/>
          <w:szCs w:val="36"/>
        </w:rPr>
        <w:t xml:space="preserve">, </w:t>
      </w:r>
      <w:r w:rsidR="001175B2" w:rsidRPr="0006280B">
        <w:rPr>
          <w:rFonts w:cs="Calibri"/>
          <w:b/>
          <w:bCs/>
          <w:sz w:val="36"/>
          <w:szCs w:val="36"/>
        </w:rPr>
        <w:t>universal childcare provision year-round and on a full-time basis</w:t>
      </w:r>
      <w:r w:rsidR="001175B2" w:rsidRPr="0006280B">
        <w:rPr>
          <w:rFonts w:cs="Calibri"/>
          <w:sz w:val="36"/>
          <w:szCs w:val="36"/>
        </w:rPr>
        <w:t xml:space="preserve">, from the age of six months onwards, including for </w:t>
      </w:r>
      <w:r w:rsidR="001175B2" w:rsidRPr="0006280B">
        <w:rPr>
          <w:rFonts w:cs="Calibri"/>
          <w:sz w:val="36"/>
          <w:szCs w:val="36"/>
        </w:rPr>
        <w:lastRenderedPageBreak/>
        <w:t>older children, through comprehensive extended school activities before and after school, and throughout school holidays</w:t>
      </w:r>
      <w:r w:rsidRPr="0006280B">
        <w:rPr>
          <w:rFonts w:cs="Calibri"/>
          <w:sz w:val="36"/>
          <w:szCs w:val="36"/>
        </w:rPr>
        <w:t xml:space="preserve">. We recommend an </w:t>
      </w:r>
      <w:r w:rsidRPr="0006280B">
        <w:rPr>
          <w:rFonts w:cs="Calibri"/>
          <w:b/>
          <w:bCs/>
          <w:sz w:val="36"/>
          <w:szCs w:val="36"/>
        </w:rPr>
        <w:t>i</w:t>
      </w:r>
      <w:r w:rsidR="001175B2" w:rsidRPr="0006280B">
        <w:rPr>
          <w:rFonts w:cs="Calibri"/>
          <w:b/>
          <w:bCs/>
          <w:sz w:val="36"/>
          <w:szCs w:val="36"/>
        </w:rPr>
        <w:t xml:space="preserve">ncrease </w:t>
      </w:r>
      <w:r w:rsidRPr="0006280B">
        <w:rPr>
          <w:rFonts w:cs="Calibri"/>
          <w:b/>
          <w:bCs/>
          <w:sz w:val="36"/>
          <w:szCs w:val="36"/>
        </w:rPr>
        <w:t xml:space="preserve">in </w:t>
      </w:r>
      <w:r w:rsidR="001175B2" w:rsidRPr="0006280B">
        <w:rPr>
          <w:rFonts w:cs="Calibri"/>
          <w:b/>
          <w:bCs/>
          <w:sz w:val="36"/>
          <w:szCs w:val="36"/>
        </w:rPr>
        <w:t>staff qualification levels and pay</w:t>
      </w:r>
      <w:r w:rsidR="001175B2" w:rsidRPr="0006280B">
        <w:rPr>
          <w:rFonts w:cs="Calibri"/>
          <w:sz w:val="36"/>
          <w:szCs w:val="36"/>
        </w:rPr>
        <w:t xml:space="preserve"> in line with primary education levels to improve retention, job satisfaction and therefore quality of care to children for whom stability of the carer-child relationship is paramount</w:t>
      </w:r>
      <w:r w:rsidRPr="0006280B">
        <w:rPr>
          <w:rFonts w:cs="Calibri"/>
          <w:sz w:val="36"/>
          <w:szCs w:val="36"/>
        </w:rPr>
        <w:t xml:space="preserve">. We also think it is important for the Government to </w:t>
      </w:r>
      <w:r w:rsidRPr="0006280B">
        <w:rPr>
          <w:rFonts w:cs="Calibri"/>
          <w:b/>
          <w:bCs/>
          <w:sz w:val="36"/>
          <w:szCs w:val="36"/>
        </w:rPr>
        <w:t>allow</w:t>
      </w:r>
      <w:r w:rsidR="001175B2" w:rsidRPr="0006280B">
        <w:rPr>
          <w:rFonts w:cs="Calibri"/>
          <w:b/>
          <w:bCs/>
          <w:sz w:val="36"/>
          <w:szCs w:val="36"/>
        </w:rPr>
        <w:t xml:space="preserve"> for a diversity of childcare providers</w:t>
      </w:r>
      <w:r w:rsidR="001175B2" w:rsidRPr="0006280B">
        <w:rPr>
          <w:rFonts w:cs="Calibri"/>
          <w:sz w:val="36"/>
          <w:szCs w:val="36"/>
        </w:rPr>
        <w:t xml:space="preserve"> (voluntary, </w:t>
      </w:r>
      <w:r w:rsidRPr="0006280B">
        <w:rPr>
          <w:rFonts w:cs="Calibri"/>
          <w:sz w:val="36"/>
          <w:szCs w:val="36"/>
        </w:rPr>
        <w:t>state,</w:t>
      </w:r>
      <w:r w:rsidR="001175B2" w:rsidRPr="0006280B">
        <w:rPr>
          <w:rFonts w:cs="Calibri"/>
          <w:sz w:val="36"/>
          <w:szCs w:val="36"/>
        </w:rPr>
        <w:t xml:space="preserve"> or commercial), all subject to the same standards and in receipt of public funding, although aiming to expand provision that is part of the state education system</w:t>
      </w:r>
      <w:r w:rsidRPr="0006280B">
        <w:rPr>
          <w:rFonts w:cs="Calibri"/>
          <w:sz w:val="36"/>
          <w:szCs w:val="36"/>
        </w:rPr>
        <w:t xml:space="preserve">. Importantly, this proposed system does not necessarily imply raising additional taxes, </w:t>
      </w:r>
      <w:r w:rsidR="00000266" w:rsidRPr="0006280B">
        <w:rPr>
          <w:rFonts w:cs="Calibri"/>
          <w:sz w:val="36"/>
          <w:szCs w:val="36"/>
        </w:rPr>
        <w:t>as the initial investment is nearly fully recouped in increased tax revenue from more jobs created across the economy, savings on welfare benefits and longer-term savings from better education and life chances for a greater number of children.</w:t>
      </w:r>
      <w:r w:rsidRPr="0006280B">
        <w:rPr>
          <w:rStyle w:val="FootnoteReference"/>
          <w:sz w:val="36"/>
          <w:szCs w:val="36"/>
        </w:rPr>
        <w:footnoteReference w:id="21"/>
      </w:r>
    </w:p>
    <w:p w14:paraId="523FAE88" w14:textId="1CF9F018" w:rsidR="000E570C" w:rsidRDefault="000E570C">
      <w:pPr>
        <w:rPr>
          <w:rFonts w:cs="Calibri"/>
          <w:b/>
          <w:bCs/>
          <w:i/>
          <w:iCs/>
          <w:sz w:val="36"/>
          <w:szCs w:val="36"/>
        </w:rPr>
      </w:pPr>
    </w:p>
    <w:p w14:paraId="3B7C9286" w14:textId="350DF54C" w:rsidR="0006280B" w:rsidRDefault="0006280B">
      <w:pPr>
        <w:rPr>
          <w:rFonts w:cs="Calibri"/>
          <w:b/>
          <w:bCs/>
          <w:i/>
          <w:iCs/>
          <w:sz w:val="36"/>
          <w:szCs w:val="36"/>
        </w:rPr>
      </w:pPr>
    </w:p>
    <w:p w14:paraId="73883D8C" w14:textId="4CAE1500" w:rsidR="0006280B" w:rsidRDefault="0006280B">
      <w:pPr>
        <w:rPr>
          <w:rFonts w:cs="Calibri"/>
          <w:b/>
          <w:bCs/>
          <w:i/>
          <w:iCs/>
          <w:sz w:val="36"/>
          <w:szCs w:val="36"/>
        </w:rPr>
      </w:pPr>
    </w:p>
    <w:p w14:paraId="4D6885A1" w14:textId="3DDB4928" w:rsidR="0006280B" w:rsidRDefault="0006280B">
      <w:pPr>
        <w:rPr>
          <w:rFonts w:cs="Calibri"/>
          <w:b/>
          <w:bCs/>
          <w:i/>
          <w:iCs/>
          <w:sz w:val="36"/>
          <w:szCs w:val="36"/>
        </w:rPr>
      </w:pPr>
    </w:p>
    <w:p w14:paraId="20924AF1" w14:textId="2751B700" w:rsidR="0006280B" w:rsidRDefault="0006280B">
      <w:pPr>
        <w:rPr>
          <w:rFonts w:cs="Calibri"/>
          <w:b/>
          <w:bCs/>
          <w:i/>
          <w:iCs/>
          <w:sz w:val="36"/>
          <w:szCs w:val="36"/>
        </w:rPr>
      </w:pPr>
    </w:p>
    <w:p w14:paraId="04E63E5D" w14:textId="0FF33494" w:rsidR="0006280B" w:rsidRDefault="0006280B">
      <w:pPr>
        <w:rPr>
          <w:rFonts w:cs="Calibri"/>
          <w:b/>
          <w:bCs/>
          <w:i/>
          <w:iCs/>
          <w:sz w:val="36"/>
          <w:szCs w:val="36"/>
        </w:rPr>
      </w:pPr>
    </w:p>
    <w:p w14:paraId="0034CD7D" w14:textId="04BBDEF9" w:rsidR="0006280B" w:rsidRDefault="0006280B">
      <w:pPr>
        <w:rPr>
          <w:rFonts w:cs="Calibri"/>
          <w:b/>
          <w:bCs/>
          <w:i/>
          <w:iCs/>
          <w:sz w:val="36"/>
          <w:szCs w:val="36"/>
        </w:rPr>
      </w:pPr>
    </w:p>
    <w:p w14:paraId="3665B087" w14:textId="76320A7C" w:rsidR="0006280B" w:rsidRDefault="0006280B">
      <w:pPr>
        <w:rPr>
          <w:rFonts w:cs="Calibri"/>
          <w:b/>
          <w:bCs/>
          <w:i/>
          <w:iCs/>
          <w:sz w:val="36"/>
          <w:szCs w:val="36"/>
        </w:rPr>
      </w:pPr>
    </w:p>
    <w:p w14:paraId="78C93021" w14:textId="59485035" w:rsidR="0006280B" w:rsidRDefault="0006280B">
      <w:pPr>
        <w:rPr>
          <w:rFonts w:cs="Calibri"/>
          <w:b/>
          <w:bCs/>
          <w:i/>
          <w:iCs/>
          <w:sz w:val="36"/>
          <w:szCs w:val="36"/>
        </w:rPr>
      </w:pPr>
    </w:p>
    <w:p w14:paraId="4639E296" w14:textId="35B66C75" w:rsidR="0006280B" w:rsidRDefault="0006280B">
      <w:pPr>
        <w:rPr>
          <w:rFonts w:cs="Calibri"/>
          <w:b/>
          <w:bCs/>
          <w:i/>
          <w:iCs/>
          <w:sz w:val="36"/>
          <w:szCs w:val="36"/>
        </w:rPr>
      </w:pPr>
    </w:p>
    <w:p w14:paraId="326BA7C9" w14:textId="77777777" w:rsidR="0006280B" w:rsidRPr="0006280B" w:rsidRDefault="0006280B">
      <w:pPr>
        <w:rPr>
          <w:rFonts w:cs="Calibri"/>
          <w:b/>
          <w:bCs/>
          <w:i/>
          <w:iCs/>
          <w:sz w:val="36"/>
          <w:szCs w:val="36"/>
        </w:rPr>
      </w:pPr>
    </w:p>
    <w:p w14:paraId="5FB9A03D" w14:textId="7FC71F27" w:rsidR="00000266" w:rsidRPr="0006280B" w:rsidRDefault="009377B9">
      <w:pPr>
        <w:rPr>
          <w:rFonts w:cs="Calibri"/>
          <w:i/>
          <w:iCs/>
          <w:sz w:val="36"/>
          <w:szCs w:val="36"/>
        </w:rPr>
      </w:pPr>
      <w:r w:rsidRPr="0006280B">
        <w:rPr>
          <w:rFonts w:cs="Calibri"/>
          <w:b/>
          <w:bCs/>
          <w:i/>
          <w:iCs/>
          <w:sz w:val="36"/>
          <w:szCs w:val="36"/>
        </w:rPr>
        <w:lastRenderedPageBreak/>
        <w:t>Wr</w:t>
      </w:r>
      <w:r w:rsidR="00473A05" w:rsidRPr="0006280B">
        <w:rPr>
          <w:rFonts w:cs="Calibri"/>
          <w:b/>
          <w:bCs/>
          <w:i/>
          <w:iCs/>
          <w:sz w:val="36"/>
          <w:szCs w:val="36"/>
        </w:rPr>
        <w:t>itten by</w:t>
      </w:r>
      <w:r w:rsidR="00473A05" w:rsidRPr="0006280B">
        <w:rPr>
          <w:rFonts w:cs="Calibri"/>
          <w:i/>
          <w:iCs/>
          <w:sz w:val="36"/>
          <w:szCs w:val="36"/>
        </w:rPr>
        <w:t xml:space="preserve">: Hana Abid, Research &amp; Policy Officer, UK Women’s Budget Group </w:t>
      </w:r>
      <w:r w:rsidR="00473A05" w:rsidRPr="0006280B">
        <w:rPr>
          <w:rFonts w:cs="Calibri"/>
          <w:b/>
          <w:bCs/>
          <w:i/>
          <w:iCs/>
          <w:sz w:val="36"/>
          <w:szCs w:val="36"/>
        </w:rPr>
        <w:t>June 2021</w:t>
      </w:r>
    </w:p>
    <w:p w14:paraId="5FDD02C6" w14:textId="75B04157" w:rsidR="00000266" w:rsidRPr="0006280B" w:rsidRDefault="00000266">
      <w:pPr>
        <w:rPr>
          <w:rFonts w:cs="Calibri"/>
          <w:i/>
          <w:iCs/>
          <w:sz w:val="36"/>
          <w:szCs w:val="36"/>
        </w:rPr>
      </w:pPr>
    </w:p>
    <w:p w14:paraId="05C78F82" w14:textId="39EF3D8A" w:rsidR="009377B9" w:rsidRPr="0006280B" w:rsidRDefault="00473A05">
      <w:pPr>
        <w:rPr>
          <w:rFonts w:cs="Calibri"/>
          <w:i/>
          <w:iCs/>
          <w:sz w:val="36"/>
          <w:szCs w:val="36"/>
        </w:rPr>
      </w:pPr>
      <w:r w:rsidRPr="0006280B">
        <w:rPr>
          <w:rFonts w:cs="Calibri"/>
          <w:i/>
          <w:iCs/>
          <w:sz w:val="36"/>
          <w:szCs w:val="36"/>
        </w:rPr>
        <w:t xml:space="preserve">The UK </w:t>
      </w:r>
      <w:hyperlink r:id="rId8" w:history="1">
        <w:r w:rsidRPr="0006280B">
          <w:rPr>
            <w:rStyle w:val="Hyperlink"/>
            <w:rFonts w:cs="Calibri"/>
            <w:i/>
            <w:iCs/>
            <w:sz w:val="36"/>
            <w:szCs w:val="36"/>
          </w:rPr>
          <w:t>Women’s Budget Group</w:t>
        </w:r>
      </w:hyperlink>
      <w:r w:rsidRPr="0006280B">
        <w:rPr>
          <w:rFonts w:cs="Calibri"/>
          <w:i/>
          <w:iCs/>
          <w:sz w:val="36"/>
          <w:szCs w:val="36"/>
        </w:rPr>
        <w:t xml:space="preserve"> is an independent and not-for-profit organisation whose aims are to promote a gender-equal economy. This analysis was undertaken as part of the </w:t>
      </w:r>
      <w:hyperlink r:id="rId9" w:history="1">
        <w:r w:rsidRPr="0006280B">
          <w:rPr>
            <w:rStyle w:val="Hyperlink"/>
            <w:rFonts w:cs="Calibri"/>
            <w:i/>
            <w:iCs/>
            <w:sz w:val="36"/>
            <w:szCs w:val="36"/>
          </w:rPr>
          <w:t>Local Data Project</w:t>
        </w:r>
      </w:hyperlink>
      <w:r w:rsidRPr="0006280B">
        <w:rPr>
          <w:rFonts w:cs="Calibri"/>
          <w:i/>
          <w:iCs/>
          <w:sz w:val="36"/>
          <w:szCs w:val="36"/>
        </w:rPr>
        <w:t xml:space="preserve">. Thank you to our funders the Smallwood Trust and Trust for London for the support to carry out this work. </w:t>
      </w:r>
    </w:p>
    <w:p w14:paraId="00E76E96" w14:textId="7797C809" w:rsidR="00542BFC" w:rsidRPr="00542BFC" w:rsidRDefault="0006280B" w:rsidP="00403F80">
      <w:pPr>
        <w:rPr>
          <w:b/>
          <w:bCs/>
        </w:rPr>
      </w:pPr>
      <w:r>
        <w:rPr>
          <w:b/>
          <w:bCs/>
          <w:noProof/>
        </w:rPr>
        <w:drawing>
          <wp:anchor distT="0" distB="0" distL="114300" distR="114300" simplePos="0" relativeHeight="251661312" behindDoc="1" locked="0" layoutInCell="1" allowOverlap="1" wp14:anchorId="7CD0C454" wp14:editId="0E78AED0">
            <wp:simplePos x="0" y="0"/>
            <wp:positionH relativeFrom="column">
              <wp:posOffset>2974302</wp:posOffset>
            </wp:positionH>
            <wp:positionV relativeFrom="paragraph">
              <wp:posOffset>889701</wp:posOffset>
            </wp:positionV>
            <wp:extent cx="1546860" cy="300657"/>
            <wp:effectExtent l="0" t="0" r="0" b="4445"/>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46860" cy="300657"/>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0288" behindDoc="0" locked="0" layoutInCell="1" allowOverlap="1" wp14:anchorId="6E4B73EA" wp14:editId="4DC792B0">
            <wp:simplePos x="0" y="0"/>
            <wp:positionH relativeFrom="column">
              <wp:posOffset>1451326</wp:posOffset>
            </wp:positionH>
            <wp:positionV relativeFrom="paragraph">
              <wp:posOffset>735709</wp:posOffset>
            </wp:positionV>
            <wp:extent cx="1196340" cy="552450"/>
            <wp:effectExtent l="0" t="0" r="3810" b="0"/>
            <wp:wrapSquare wrapText="bothSides"/>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340" cy="552450"/>
                    </a:xfrm>
                    <a:prstGeom prst="rect">
                      <a:avLst/>
                    </a:prstGeom>
                  </pic:spPr>
                </pic:pic>
              </a:graphicData>
            </a:graphic>
            <wp14:sizeRelH relativeFrom="page">
              <wp14:pctWidth>0</wp14:pctWidth>
            </wp14:sizeRelH>
            <wp14:sizeRelV relativeFrom="page">
              <wp14:pctHeight>0</wp14:pctHeight>
            </wp14:sizeRelV>
          </wp:anchor>
        </w:drawing>
      </w:r>
    </w:p>
    <w:sectPr w:rsidR="00542BFC" w:rsidRPr="00542BFC" w:rsidSect="000E570C">
      <w:head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FA533" w14:textId="77777777" w:rsidR="00401E8C" w:rsidRDefault="00401E8C" w:rsidP="00484BF6">
      <w:r>
        <w:separator/>
      </w:r>
    </w:p>
  </w:endnote>
  <w:endnote w:type="continuationSeparator" w:id="0">
    <w:p w14:paraId="70A621E0" w14:textId="77777777" w:rsidR="00401E8C" w:rsidRDefault="00401E8C" w:rsidP="0048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Intelo Alt">
    <w:altName w:val="Calibri"/>
    <w:panose1 w:val="020B0604020202020204"/>
    <w:charset w:val="00"/>
    <w:family w:val="swiss"/>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ECC73" w14:textId="77777777" w:rsidR="00401E8C" w:rsidRDefault="00401E8C" w:rsidP="00484BF6">
      <w:r>
        <w:separator/>
      </w:r>
    </w:p>
  </w:footnote>
  <w:footnote w:type="continuationSeparator" w:id="0">
    <w:p w14:paraId="114EC857" w14:textId="77777777" w:rsidR="00401E8C" w:rsidRDefault="00401E8C" w:rsidP="00484BF6">
      <w:r>
        <w:continuationSeparator/>
      </w:r>
    </w:p>
  </w:footnote>
  <w:footnote w:id="1">
    <w:p w14:paraId="3F61BCAD" w14:textId="3436F66B" w:rsidR="006E46D3" w:rsidRPr="0006280B" w:rsidRDefault="006E46D3">
      <w:pPr>
        <w:pStyle w:val="FootnoteText"/>
        <w:rPr>
          <w:sz w:val="32"/>
          <w:szCs w:val="32"/>
        </w:rPr>
      </w:pPr>
      <w:r w:rsidRPr="0006280B">
        <w:rPr>
          <w:rStyle w:val="FootnoteReference"/>
          <w:sz w:val="32"/>
          <w:szCs w:val="32"/>
        </w:rPr>
        <w:footnoteRef/>
      </w:r>
      <w:r w:rsidRPr="0006280B">
        <w:rPr>
          <w:sz w:val="32"/>
          <w:szCs w:val="32"/>
        </w:rPr>
        <w:t xml:space="preserve"> Creating a Caring Economy: A Call to Action, Final Report of the Women’s Budget Group’s Commission on a Gender-Equal Economy (</w:t>
      </w:r>
      <w:hyperlink r:id="rId1" w:history="1">
        <w:r w:rsidR="000E570C" w:rsidRPr="0006280B">
          <w:rPr>
            <w:rStyle w:val="Hyperlink"/>
            <w:sz w:val="32"/>
            <w:szCs w:val="32"/>
          </w:rPr>
          <w:t>https://wbg.org.uk/commission/</w:t>
        </w:r>
      </w:hyperlink>
      <w:r w:rsidRPr="0006280B">
        <w:rPr>
          <w:sz w:val="32"/>
          <w:szCs w:val="32"/>
        </w:rPr>
        <w:t>)</w:t>
      </w:r>
      <w:r w:rsidR="000E570C" w:rsidRPr="0006280B">
        <w:rPr>
          <w:sz w:val="32"/>
          <w:szCs w:val="32"/>
        </w:rPr>
        <w:t xml:space="preserve"> </w:t>
      </w:r>
    </w:p>
  </w:footnote>
  <w:footnote w:id="2">
    <w:p w14:paraId="1E741620" w14:textId="640BA4AD" w:rsidR="00AD3CDC" w:rsidRPr="0006280B" w:rsidRDefault="00AD3CDC">
      <w:pPr>
        <w:pStyle w:val="FootnoteText"/>
        <w:rPr>
          <w:sz w:val="32"/>
          <w:szCs w:val="32"/>
        </w:rPr>
      </w:pPr>
      <w:r w:rsidRPr="0006280B">
        <w:rPr>
          <w:rStyle w:val="FootnoteReference"/>
          <w:sz w:val="32"/>
          <w:szCs w:val="32"/>
        </w:rPr>
        <w:footnoteRef/>
      </w:r>
      <w:r w:rsidRPr="0006280B">
        <w:rPr>
          <w:sz w:val="32"/>
          <w:szCs w:val="32"/>
        </w:rPr>
        <w:t xml:space="preserve"> </w:t>
      </w:r>
      <w:r w:rsidR="000178D5" w:rsidRPr="0006280B">
        <w:rPr>
          <w:sz w:val="32"/>
          <w:szCs w:val="32"/>
        </w:rPr>
        <w:t xml:space="preserve">OECD (2020) </w:t>
      </w:r>
      <w:r w:rsidRPr="0006280B">
        <w:rPr>
          <w:sz w:val="32"/>
          <w:szCs w:val="32"/>
        </w:rPr>
        <w:t>Is Childcare Affordable? (</w:t>
      </w:r>
      <w:hyperlink r:id="rId2" w:history="1">
        <w:r w:rsidR="000E570C" w:rsidRPr="0006280B">
          <w:rPr>
            <w:rStyle w:val="Hyperlink"/>
            <w:sz w:val="32"/>
            <w:szCs w:val="32"/>
          </w:rPr>
          <w:t>https://bit.ly/3w2ixyQ</w:t>
        </w:r>
      </w:hyperlink>
      <w:r w:rsidR="000178D5" w:rsidRPr="0006280B">
        <w:rPr>
          <w:sz w:val="32"/>
          <w:szCs w:val="32"/>
        </w:rPr>
        <w:t>)</w:t>
      </w:r>
      <w:r w:rsidR="000E570C" w:rsidRPr="0006280B">
        <w:rPr>
          <w:sz w:val="32"/>
          <w:szCs w:val="32"/>
        </w:rPr>
        <w:t xml:space="preserve"> </w:t>
      </w:r>
    </w:p>
  </w:footnote>
  <w:footnote w:id="3">
    <w:p w14:paraId="0418AD67" w14:textId="6B1FEE20" w:rsidR="008D25BF" w:rsidRPr="0006280B" w:rsidRDefault="008D25BF" w:rsidP="008D25BF">
      <w:pPr>
        <w:pStyle w:val="FootnoteText"/>
        <w:rPr>
          <w:sz w:val="32"/>
          <w:szCs w:val="32"/>
        </w:rPr>
      </w:pPr>
      <w:r w:rsidRPr="0006280B">
        <w:rPr>
          <w:rStyle w:val="FootnoteReference"/>
          <w:sz w:val="32"/>
          <w:szCs w:val="32"/>
        </w:rPr>
        <w:footnoteRef/>
      </w:r>
      <w:r w:rsidRPr="0006280B">
        <w:rPr>
          <w:sz w:val="32"/>
          <w:szCs w:val="32"/>
        </w:rPr>
        <w:t xml:space="preserve"> Each nation in Great Britain has slightly different legal duties around which information they monitor regarding the sufficiency of childcare provision in each local authority, meaning it is not possible to make direct comparisons across all groups. </w:t>
      </w:r>
    </w:p>
  </w:footnote>
  <w:footnote w:id="4">
    <w:p w14:paraId="679F1E05" w14:textId="629E4557" w:rsidR="008D25BF" w:rsidRPr="0006280B" w:rsidRDefault="008D25BF" w:rsidP="003E2615">
      <w:pPr>
        <w:pStyle w:val="FootnoteText"/>
        <w:rPr>
          <w:sz w:val="32"/>
          <w:szCs w:val="32"/>
        </w:rPr>
      </w:pPr>
      <w:r w:rsidRPr="0006280B">
        <w:rPr>
          <w:rStyle w:val="FootnoteReference"/>
          <w:sz w:val="32"/>
          <w:szCs w:val="32"/>
        </w:rPr>
        <w:footnoteRef/>
      </w:r>
      <w:r w:rsidRPr="0006280B">
        <w:rPr>
          <w:sz w:val="32"/>
          <w:szCs w:val="32"/>
        </w:rPr>
        <w:t xml:space="preserve"> Coram Family and Childcare Trust (2021) Survey 2021 (</w:t>
      </w:r>
      <w:hyperlink r:id="rId3" w:history="1">
        <w:r w:rsidR="003E2615" w:rsidRPr="0006280B">
          <w:rPr>
            <w:rStyle w:val="Hyperlink"/>
            <w:sz w:val="32"/>
            <w:szCs w:val="32"/>
          </w:rPr>
          <w:t>https://bit.ly/2Ue4Tv1</w:t>
        </w:r>
      </w:hyperlink>
      <w:r w:rsidR="001062BC" w:rsidRPr="0006280B">
        <w:rPr>
          <w:sz w:val="32"/>
          <w:szCs w:val="32"/>
        </w:rPr>
        <w:t>)</w:t>
      </w:r>
      <w:hyperlink w:history="1"/>
    </w:p>
  </w:footnote>
  <w:footnote w:id="5">
    <w:p w14:paraId="02622565" w14:textId="04393AE4" w:rsidR="001062BC" w:rsidRPr="0006280B" w:rsidRDefault="001062BC" w:rsidP="003E2615">
      <w:pPr>
        <w:pStyle w:val="FootnoteText"/>
        <w:rPr>
          <w:sz w:val="32"/>
          <w:szCs w:val="32"/>
        </w:rPr>
      </w:pPr>
      <w:r w:rsidRPr="0006280B">
        <w:rPr>
          <w:rStyle w:val="FootnoteReference"/>
          <w:sz w:val="32"/>
          <w:szCs w:val="32"/>
        </w:rPr>
        <w:footnoteRef/>
      </w:r>
      <w:r w:rsidRPr="0006280B">
        <w:rPr>
          <w:sz w:val="32"/>
          <w:szCs w:val="32"/>
        </w:rPr>
        <w:t xml:space="preserve"> Coram Family and Childcare Trust (2020) Childcare Survey: early release on the impact of Covid-19 on childcare in England (</w:t>
      </w:r>
      <w:hyperlink r:id="rId4" w:history="1">
        <w:r w:rsidRPr="0006280B">
          <w:rPr>
            <w:rStyle w:val="Hyperlink"/>
            <w:sz w:val="32"/>
            <w:szCs w:val="32"/>
          </w:rPr>
          <w:t>https://bit.ly/3qzBisn</w:t>
        </w:r>
      </w:hyperlink>
      <w:r w:rsidRPr="0006280B">
        <w:rPr>
          <w:sz w:val="32"/>
          <w:szCs w:val="32"/>
        </w:rPr>
        <w:t xml:space="preserve">) </w:t>
      </w:r>
    </w:p>
  </w:footnote>
  <w:footnote w:id="6">
    <w:p w14:paraId="75206FC2" w14:textId="10B4C0D3" w:rsidR="008D25BF" w:rsidRPr="0006280B" w:rsidRDefault="008D25BF" w:rsidP="008D25BF">
      <w:pPr>
        <w:pStyle w:val="FootnoteText"/>
        <w:rPr>
          <w:sz w:val="32"/>
          <w:szCs w:val="32"/>
        </w:rPr>
      </w:pPr>
      <w:r w:rsidRPr="0006280B">
        <w:rPr>
          <w:rStyle w:val="FootnoteReference"/>
          <w:sz w:val="32"/>
          <w:szCs w:val="32"/>
        </w:rPr>
        <w:footnoteRef/>
      </w:r>
      <w:r w:rsidRPr="0006280B">
        <w:rPr>
          <w:sz w:val="32"/>
          <w:szCs w:val="32"/>
        </w:rPr>
        <w:t xml:space="preserve"> Local authorities in Scotland hold less data than their English counterparts on the rates of childcare provision outside of the free entitlements because statutory requirements in Scotland vary slightly, making it difficult to compare the availability of childcare in Scotland in the same level of detail we have been able to in the English context. </w:t>
      </w:r>
    </w:p>
  </w:footnote>
  <w:footnote w:id="7">
    <w:p w14:paraId="2C53197E" w14:textId="1A6291D5" w:rsidR="00037CD3" w:rsidRPr="0006280B" w:rsidRDefault="00037CD3" w:rsidP="00037CD3">
      <w:pPr>
        <w:pStyle w:val="FootnoteText"/>
        <w:rPr>
          <w:sz w:val="32"/>
          <w:szCs w:val="32"/>
        </w:rPr>
      </w:pPr>
      <w:r w:rsidRPr="0006280B">
        <w:rPr>
          <w:rStyle w:val="FootnoteReference"/>
          <w:sz w:val="32"/>
          <w:szCs w:val="32"/>
        </w:rPr>
        <w:footnoteRef/>
      </w:r>
      <w:r w:rsidRPr="0006280B">
        <w:rPr>
          <w:sz w:val="32"/>
          <w:szCs w:val="32"/>
        </w:rPr>
        <w:t xml:space="preserve"> It is noted in the Coram survey that Wales has relatively few (22) local authorities, so changes in reporting from a small number of authorities can have a large effect on the statistics. It is also likely that any increases in sufficiency are related to more local authorities reporting in line with new statutory requirements, and not only attributed to an increase in the supply of childcare provision</w:t>
      </w:r>
    </w:p>
  </w:footnote>
  <w:footnote w:id="8">
    <w:p w14:paraId="471EC393" w14:textId="127CB04C" w:rsidR="00037CD3" w:rsidRPr="0006280B" w:rsidRDefault="00037CD3" w:rsidP="00037CD3">
      <w:pPr>
        <w:pStyle w:val="FootnoteText"/>
        <w:rPr>
          <w:sz w:val="32"/>
          <w:szCs w:val="32"/>
        </w:rPr>
      </w:pPr>
      <w:r w:rsidRPr="0006280B">
        <w:rPr>
          <w:rStyle w:val="FootnoteReference"/>
          <w:sz w:val="32"/>
          <w:szCs w:val="32"/>
        </w:rPr>
        <w:footnoteRef/>
      </w:r>
      <w:r w:rsidRPr="0006280B">
        <w:rPr>
          <w:sz w:val="32"/>
          <w:szCs w:val="32"/>
        </w:rPr>
        <w:t xml:space="preserve"> New data shows ministers knew early years was underfunded (</w:t>
      </w:r>
      <w:r w:rsidR="000178D5" w:rsidRPr="0006280B">
        <w:rPr>
          <w:rStyle w:val="Hyperlink"/>
          <w:sz w:val="32"/>
          <w:szCs w:val="32"/>
        </w:rPr>
        <w:t>https://bit.ly/3w1h8Zb</w:t>
      </w:r>
      <w:r w:rsidRPr="0006280B">
        <w:rPr>
          <w:sz w:val="32"/>
          <w:szCs w:val="32"/>
        </w:rPr>
        <w:t>)</w:t>
      </w:r>
    </w:p>
  </w:footnote>
  <w:footnote w:id="9">
    <w:p w14:paraId="2FCCE29C" w14:textId="493E23D2" w:rsidR="00037CD3" w:rsidRPr="0006280B" w:rsidRDefault="00037CD3" w:rsidP="003E2615">
      <w:pPr>
        <w:pStyle w:val="FootnoteText"/>
        <w:rPr>
          <w:sz w:val="32"/>
          <w:szCs w:val="32"/>
        </w:rPr>
      </w:pPr>
      <w:r w:rsidRPr="0006280B">
        <w:rPr>
          <w:rStyle w:val="FootnoteReference"/>
          <w:sz w:val="32"/>
          <w:szCs w:val="32"/>
        </w:rPr>
        <w:footnoteRef/>
      </w:r>
      <w:r w:rsidRPr="0006280B">
        <w:rPr>
          <w:sz w:val="32"/>
          <w:szCs w:val="32"/>
        </w:rPr>
        <w:t xml:space="preserve"> Women’s Budget Group (2018), </w:t>
      </w:r>
      <w:r w:rsidRPr="0006280B">
        <w:rPr>
          <w:i/>
          <w:iCs/>
          <w:sz w:val="32"/>
          <w:szCs w:val="32"/>
        </w:rPr>
        <w:t xml:space="preserve">The Female Face of Poverty </w:t>
      </w:r>
      <w:r w:rsidRPr="0006280B">
        <w:rPr>
          <w:sz w:val="32"/>
          <w:szCs w:val="32"/>
        </w:rPr>
        <w:t>(</w:t>
      </w:r>
      <w:hyperlink r:id="rId5" w:history="1">
        <w:r w:rsidR="003E2615" w:rsidRPr="0006280B">
          <w:rPr>
            <w:rStyle w:val="Hyperlink"/>
            <w:sz w:val="32"/>
            <w:szCs w:val="32"/>
          </w:rPr>
          <w:t>http://bit.ly/2CRIx8N</w:t>
        </w:r>
      </w:hyperlink>
      <w:r w:rsidR="00B1489F" w:rsidRPr="0006280B">
        <w:rPr>
          <w:sz w:val="32"/>
          <w:szCs w:val="32"/>
        </w:rPr>
        <w:t>)</w:t>
      </w:r>
      <w:hyperlink w:history="1"/>
    </w:p>
  </w:footnote>
  <w:footnote w:id="10">
    <w:p w14:paraId="729D1D11" w14:textId="77777777" w:rsidR="00CD6044" w:rsidRPr="0006280B" w:rsidRDefault="00CD6044" w:rsidP="00CD6044">
      <w:pPr>
        <w:pStyle w:val="NoSpacing"/>
        <w:rPr>
          <w:sz w:val="32"/>
          <w:szCs w:val="32"/>
        </w:rPr>
      </w:pPr>
      <w:r w:rsidRPr="0006280B">
        <w:rPr>
          <w:rStyle w:val="FootnoteReference"/>
          <w:sz w:val="32"/>
          <w:szCs w:val="32"/>
        </w:rPr>
        <w:footnoteRef/>
      </w:r>
      <w:r w:rsidRPr="0006280B">
        <w:rPr>
          <w:sz w:val="32"/>
          <w:szCs w:val="32"/>
        </w:rPr>
        <w:t xml:space="preserve"> Office for National Statistics [ONS] (2021) Table INAC01: Economic inactivity: Women aged 16 to 64 by reasons for inactivity (seasonally adjusted).</w:t>
      </w:r>
    </w:p>
  </w:footnote>
  <w:footnote w:id="11">
    <w:p w14:paraId="3074E0EA" w14:textId="3A037F28" w:rsidR="003E2615" w:rsidRPr="0006280B" w:rsidRDefault="00CD6044" w:rsidP="003E2615">
      <w:pPr>
        <w:pStyle w:val="NoSpacing"/>
        <w:rPr>
          <w:sz w:val="32"/>
          <w:szCs w:val="32"/>
        </w:rPr>
      </w:pPr>
      <w:r w:rsidRPr="0006280B">
        <w:rPr>
          <w:rStyle w:val="FootnoteReference"/>
          <w:sz w:val="32"/>
          <w:szCs w:val="32"/>
        </w:rPr>
        <w:footnoteRef/>
      </w:r>
      <w:r w:rsidRPr="0006280B">
        <w:rPr>
          <w:sz w:val="32"/>
          <w:szCs w:val="32"/>
        </w:rPr>
        <w:t xml:space="preserve"> </w:t>
      </w:r>
      <w:r w:rsidR="00B1489F" w:rsidRPr="0006280B">
        <w:rPr>
          <w:sz w:val="32"/>
          <w:szCs w:val="32"/>
        </w:rPr>
        <w:t>OECD (2020) Is Childcare Affordable? (</w:t>
      </w:r>
      <w:hyperlink r:id="rId6" w:history="1">
        <w:r w:rsidR="003E2615" w:rsidRPr="0006280B">
          <w:rPr>
            <w:rStyle w:val="Hyperlink"/>
            <w:sz w:val="32"/>
            <w:szCs w:val="32"/>
          </w:rPr>
          <w:t>https://bit.ly/3w2ixyQ</w:t>
        </w:r>
      </w:hyperlink>
      <w:r w:rsidR="00B1489F" w:rsidRPr="0006280B">
        <w:rPr>
          <w:sz w:val="32"/>
          <w:szCs w:val="32"/>
        </w:rPr>
        <w:t>)</w:t>
      </w:r>
    </w:p>
  </w:footnote>
  <w:footnote w:id="12">
    <w:p w14:paraId="5E4AF09A" w14:textId="77777777" w:rsidR="00CD6044" w:rsidRPr="0006280B" w:rsidRDefault="00CD6044" w:rsidP="00CD6044">
      <w:pPr>
        <w:pStyle w:val="NoSpacing"/>
        <w:rPr>
          <w:sz w:val="32"/>
          <w:szCs w:val="32"/>
        </w:rPr>
      </w:pPr>
      <w:r w:rsidRPr="0006280B">
        <w:rPr>
          <w:rStyle w:val="FootnoteReference"/>
          <w:sz w:val="32"/>
          <w:szCs w:val="32"/>
        </w:rPr>
        <w:footnoteRef/>
      </w:r>
      <w:r w:rsidRPr="0006280B">
        <w:rPr>
          <w:sz w:val="32"/>
          <w:szCs w:val="32"/>
        </w:rPr>
        <w:t xml:space="preserve"> Barrett-Evans, Dominic and </w:t>
      </w:r>
      <w:proofErr w:type="spellStart"/>
      <w:r w:rsidRPr="0006280B">
        <w:rPr>
          <w:sz w:val="32"/>
          <w:szCs w:val="32"/>
        </w:rPr>
        <w:t>Birlean</w:t>
      </w:r>
      <w:proofErr w:type="spellEnd"/>
      <w:r w:rsidRPr="0006280B">
        <w:rPr>
          <w:sz w:val="32"/>
          <w:szCs w:val="32"/>
        </w:rPr>
        <w:t>, Diana (2018) Childcare UK Market Report; Fifteenth Edition, London: Laing and Buisson</w:t>
      </w:r>
    </w:p>
  </w:footnote>
  <w:footnote w:id="13">
    <w:p w14:paraId="3EAF7E7D" w14:textId="060A2A83" w:rsidR="00A81ABE" w:rsidRPr="0006280B" w:rsidRDefault="00A81ABE" w:rsidP="003E2615">
      <w:pPr>
        <w:pStyle w:val="FootnoteText"/>
        <w:rPr>
          <w:sz w:val="32"/>
          <w:szCs w:val="32"/>
        </w:rPr>
      </w:pPr>
      <w:r w:rsidRPr="0006280B">
        <w:rPr>
          <w:rStyle w:val="FootnoteReference"/>
          <w:sz w:val="32"/>
          <w:szCs w:val="32"/>
        </w:rPr>
        <w:footnoteRef/>
      </w:r>
      <w:r w:rsidRPr="0006280B">
        <w:rPr>
          <w:sz w:val="32"/>
          <w:szCs w:val="32"/>
        </w:rPr>
        <w:t xml:space="preserve"> </w:t>
      </w:r>
      <w:r w:rsidR="00C848A1" w:rsidRPr="0006280B">
        <w:rPr>
          <w:sz w:val="32"/>
          <w:szCs w:val="32"/>
        </w:rPr>
        <w:t xml:space="preserve">Employers for Childcare (2020) </w:t>
      </w:r>
      <w:r w:rsidRPr="0006280B">
        <w:rPr>
          <w:sz w:val="32"/>
          <w:szCs w:val="32"/>
        </w:rPr>
        <w:t>Northern Ireland Childcare Survey 2020</w:t>
      </w:r>
      <w:r w:rsidR="00C848A1" w:rsidRPr="0006280B">
        <w:rPr>
          <w:sz w:val="32"/>
          <w:szCs w:val="32"/>
        </w:rPr>
        <w:t xml:space="preserve"> (</w:t>
      </w:r>
      <w:hyperlink r:id="rId7" w:history="1">
        <w:r w:rsidR="003E2615" w:rsidRPr="0006280B">
          <w:rPr>
            <w:rStyle w:val="Hyperlink"/>
            <w:sz w:val="32"/>
            <w:szCs w:val="32"/>
          </w:rPr>
          <w:t>https://bit.ly/2UG10zi</w:t>
        </w:r>
      </w:hyperlink>
      <w:r w:rsidR="00C848A1" w:rsidRPr="0006280B">
        <w:rPr>
          <w:sz w:val="32"/>
          <w:szCs w:val="32"/>
        </w:rPr>
        <w:t>)</w:t>
      </w:r>
    </w:p>
  </w:footnote>
  <w:footnote w:id="14">
    <w:p w14:paraId="4E2A53E5" w14:textId="6BDE6827" w:rsidR="00DF72A0" w:rsidRPr="0006280B" w:rsidRDefault="00DF72A0" w:rsidP="004378FA">
      <w:pPr>
        <w:pStyle w:val="NoSpacing"/>
        <w:rPr>
          <w:sz w:val="32"/>
          <w:szCs w:val="32"/>
        </w:rPr>
      </w:pPr>
      <w:r w:rsidRPr="0006280B">
        <w:rPr>
          <w:rStyle w:val="FootnoteReference"/>
          <w:sz w:val="32"/>
          <w:szCs w:val="32"/>
        </w:rPr>
        <w:footnoteRef/>
      </w:r>
      <w:r w:rsidRPr="0006280B">
        <w:rPr>
          <w:sz w:val="32"/>
          <w:szCs w:val="32"/>
        </w:rPr>
        <w:t xml:space="preserve"> Coram Family and Childcare Trust (2021) Survey 2021, p25</w:t>
      </w:r>
    </w:p>
  </w:footnote>
  <w:footnote w:id="15">
    <w:p w14:paraId="3030A1B4" w14:textId="45942FE0" w:rsidR="004378FA" w:rsidRPr="0006280B" w:rsidRDefault="004378FA" w:rsidP="004378FA">
      <w:pPr>
        <w:pStyle w:val="FootnoteText"/>
        <w:rPr>
          <w:sz w:val="32"/>
          <w:szCs w:val="32"/>
        </w:rPr>
      </w:pPr>
      <w:r w:rsidRPr="0006280B">
        <w:rPr>
          <w:rStyle w:val="FootnoteReference"/>
          <w:sz w:val="32"/>
          <w:szCs w:val="32"/>
        </w:rPr>
        <w:footnoteRef/>
      </w:r>
      <w:r w:rsidRPr="0006280B">
        <w:rPr>
          <w:sz w:val="32"/>
          <w:szCs w:val="32"/>
        </w:rPr>
        <w:t xml:space="preserve"> Ofsted Childcare providers and inspections Official Statistics (2021) Table 3: Movement in the childcare sector</w:t>
      </w:r>
      <w:r w:rsidR="000E570C" w:rsidRPr="0006280B">
        <w:rPr>
          <w:sz w:val="32"/>
          <w:szCs w:val="32"/>
        </w:rPr>
        <w:t xml:space="preserve"> (</w:t>
      </w:r>
      <w:hyperlink r:id="rId8" w:history="1">
        <w:r w:rsidR="000E570C" w:rsidRPr="0006280B">
          <w:rPr>
            <w:rStyle w:val="Hyperlink"/>
            <w:sz w:val="32"/>
            <w:szCs w:val="32"/>
          </w:rPr>
          <w:t>https://bit.ly/363S7SI</w:t>
        </w:r>
      </w:hyperlink>
      <w:r w:rsidR="000E570C" w:rsidRPr="0006280B">
        <w:rPr>
          <w:sz w:val="32"/>
          <w:szCs w:val="32"/>
        </w:rPr>
        <w:t xml:space="preserve">) </w:t>
      </w:r>
    </w:p>
  </w:footnote>
  <w:footnote w:id="16">
    <w:p w14:paraId="54B83C73" w14:textId="419065D2" w:rsidR="004378FA" w:rsidRPr="0006280B" w:rsidRDefault="004378FA" w:rsidP="004378FA">
      <w:pPr>
        <w:pStyle w:val="FootnoteText"/>
        <w:rPr>
          <w:sz w:val="32"/>
          <w:szCs w:val="32"/>
        </w:rPr>
      </w:pPr>
      <w:r w:rsidRPr="0006280B">
        <w:rPr>
          <w:rStyle w:val="FootnoteReference"/>
          <w:sz w:val="32"/>
          <w:szCs w:val="32"/>
        </w:rPr>
        <w:footnoteRef/>
      </w:r>
      <w:r w:rsidRPr="0006280B">
        <w:rPr>
          <w:sz w:val="32"/>
          <w:szCs w:val="32"/>
        </w:rPr>
        <w:t xml:space="preserve"> </w:t>
      </w:r>
      <w:r w:rsidR="000E570C" w:rsidRPr="0006280B">
        <w:rPr>
          <w:sz w:val="32"/>
          <w:szCs w:val="32"/>
        </w:rPr>
        <w:t>Ibid</w:t>
      </w:r>
    </w:p>
  </w:footnote>
  <w:footnote w:id="17">
    <w:p w14:paraId="3AF3DB40" w14:textId="1CB1A688" w:rsidR="004378FA" w:rsidRPr="0006280B" w:rsidRDefault="004378FA" w:rsidP="004378FA">
      <w:pPr>
        <w:pStyle w:val="FootnoteText"/>
        <w:rPr>
          <w:sz w:val="32"/>
          <w:szCs w:val="32"/>
        </w:rPr>
      </w:pPr>
      <w:r w:rsidRPr="0006280B">
        <w:rPr>
          <w:rStyle w:val="FootnoteReference"/>
          <w:sz w:val="32"/>
          <w:szCs w:val="32"/>
        </w:rPr>
        <w:footnoteRef/>
      </w:r>
      <w:r w:rsidRPr="0006280B">
        <w:rPr>
          <w:sz w:val="32"/>
          <w:szCs w:val="32"/>
        </w:rPr>
        <w:t xml:space="preserve"> </w:t>
      </w:r>
      <w:r w:rsidR="000E570C" w:rsidRPr="0006280B">
        <w:rPr>
          <w:sz w:val="32"/>
          <w:szCs w:val="32"/>
        </w:rPr>
        <w:t>Ibid</w:t>
      </w:r>
    </w:p>
  </w:footnote>
  <w:footnote w:id="18">
    <w:p w14:paraId="382EE710" w14:textId="3A9DA5F2" w:rsidR="004378FA" w:rsidRPr="0006280B" w:rsidRDefault="004378FA" w:rsidP="004378FA">
      <w:pPr>
        <w:pStyle w:val="FootnoteText"/>
        <w:rPr>
          <w:sz w:val="32"/>
          <w:szCs w:val="32"/>
        </w:rPr>
      </w:pPr>
      <w:r w:rsidRPr="0006280B">
        <w:rPr>
          <w:rStyle w:val="FootnoteReference"/>
          <w:sz w:val="32"/>
          <w:szCs w:val="32"/>
        </w:rPr>
        <w:footnoteRef/>
      </w:r>
      <w:r w:rsidRPr="0006280B">
        <w:rPr>
          <w:sz w:val="32"/>
          <w:szCs w:val="32"/>
        </w:rPr>
        <w:t xml:space="preserve"> </w:t>
      </w:r>
      <w:r w:rsidR="000E570C" w:rsidRPr="0006280B">
        <w:rPr>
          <w:sz w:val="32"/>
          <w:szCs w:val="32"/>
        </w:rPr>
        <w:t>Ibid</w:t>
      </w:r>
    </w:p>
  </w:footnote>
  <w:footnote w:id="19">
    <w:p w14:paraId="7A632F38" w14:textId="2238AFCA" w:rsidR="004378FA" w:rsidRPr="0006280B" w:rsidRDefault="004378FA" w:rsidP="003E2615">
      <w:pPr>
        <w:pStyle w:val="NoSpacing"/>
        <w:rPr>
          <w:sz w:val="32"/>
          <w:szCs w:val="32"/>
        </w:rPr>
      </w:pPr>
      <w:r w:rsidRPr="0006280B">
        <w:rPr>
          <w:rStyle w:val="FootnoteReference"/>
          <w:sz w:val="32"/>
          <w:szCs w:val="32"/>
        </w:rPr>
        <w:footnoteRef/>
      </w:r>
      <w:r w:rsidRPr="0006280B">
        <w:rPr>
          <w:sz w:val="32"/>
          <w:szCs w:val="32"/>
        </w:rPr>
        <w:t xml:space="preserve"> Coram Family and Childcare (2021) Childcare costs rise by 4% over the last year as providers struggle to remain sustainable during the pandemic (</w:t>
      </w:r>
      <w:hyperlink r:id="rId9" w:history="1">
        <w:r w:rsidR="003E2615" w:rsidRPr="0006280B">
          <w:rPr>
            <w:rStyle w:val="Hyperlink"/>
            <w:sz w:val="32"/>
            <w:szCs w:val="32"/>
          </w:rPr>
          <w:t>https://bit.ly/3w8TSbD</w:t>
        </w:r>
      </w:hyperlink>
      <w:r w:rsidRPr="0006280B">
        <w:rPr>
          <w:sz w:val="32"/>
          <w:szCs w:val="32"/>
        </w:rPr>
        <w:t>)</w:t>
      </w:r>
    </w:p>
  </w:footnote>
  <w:footnote w:id="20">
    <w:p w14:paraId="1FEA0CA8" w14:textId="0E0CD332" w:rsidR="008A2DDC" w:rsidRPr="0006280B" w:rsidRDefault="008A2DDC" w:rsidP="003E2615">
      <w:pPr>
        <w:pStyle w:val="FootnoteText"/>
        <w:rPr>
          <w:sz w:val="32"/>
          <w:szCs w:val="32"/>
        </w:rPr>
      </w:pPr>
      <w:r w:rsidRPr="0006280B">
        <w:rPr>
          <w:rStyle w:val="FootnoteReference"/>
          <w:sz w:val="32"/>
          <w:szCs w:val="32"/>
        </w:rPr>
        <w:footnoteRef/>
      </w:r>
      <w:r w:rsidRPr="0006280B">
        <w:rPr>
          <w:sz w:val="32"/>
          <w:szCs w:val="32"/>
        </w:rPr>
        <w:t xml:space="preserve"> </w:t>
      </w:r>
      <w:r w:rsidR="00C848A1" w:rsidRPr="0006280B">
        <w:rPr>
          <w:sz w:val="32"/>
          <w:szCs w:val="32"/>
        </w:rPr>
        <w:t xml:space="preserve">Cohen, N. (2021) </w:t>
      </w:r>
      <w:r w:rsidRPr="0006280B">
        <w:rPr>
          <w:sz w:val="32"/>
          <w:szCs w:val="32"/>
        </w:rPr>
        <w:t>Women in the Labour Market: Why childcare can drive an economic recovery</w:t>
      </w:r>
      <w:r w:rsidR="00C848A1" w:rsidRPr="0006280B">
        <w:rPr>
          <w:sz w:val="32"/>
          <w:szCs w:val="32"/>
        </w:rPr>
        <w:t xml:space="preserve"> </w:t>
      </w:r>
      <w:r w:rsidRPr="0006280B">
        <w:rPr>
          <w:sz w:val="32"/>
          <w:szCs w:val="32"/>
        </w:rPr>
        <w:t>(</w:t>
      </w:r>
      <w:hyperlink r:id="rId10" w:history="1">
        <w:r w:rsidR="003E2615" w:rsidRPr="0006280B">
          <w:rPr>
            <w:rStyle w:val="Hyperlink"/>
            <w:sz w:val="32"/>
            <w:szCs w:val="32"/>
          </w:rPr>
          <w:t>https://bit.ly/35Z3f39</w:t>
        </w:r>
      </w:hyperlink>
      <w:r w:rsidR="00C848A1" w:rsidRPr="0006280B">
        <w:rPr>
          <w:sz w:val="32"/>
          <w:szCs w:val="32"/>
        </w:rPr>
        <w:t>)</w:t>
      </w:r>
    </w:p>
  </w:footnote>
  <w:footnote w:id="21">
    <w:p w14:paraId="6F94BD50" w14:textId="175399C0" w:rsidR="00AA5EDA" w:rsidRDefault="00AA5EDA" w:rsidP="00AA5EDA">
      <w:pPr>
        <w:pStyle w:val="FootnoteText"/>
      </w:pPr>
      <w:r w:rsidRPr="0006280B">
        <w:rPr>
          <w:rStyle w:val="FootnoteReference"/>
          <w:sz w:val="32"/>
          <w:szCs w:val="32"/>
        </w:rPr>
        <w:footnoteRef/>
      </w:r>
      <w:r w:rsidRPr="0006280B">
        <w:rPr>
          <w:sz w:val="32"/>
          <w:szCs w:val="32"/>
        </w:rPr>
        <w:t xml:space="preserve"> De </w:t>
      </w:r>
      <w:proofErr w:type="spellStart"/>
      <w:r w:rsidRPr="0006280B">
        <w:rPr>
          <w:sz w:val="32"/>
          <w:szCs w:val="32"/>
        </w:rPr>
        <w:t>Henau</w:t>
      </w:r>
      <w:proofErr w:type="spellEnd"/>
      <w:r w:rsidRPr="0006280B">
        <w:rPr>
          <w:sz w:val="32"/>
          <w:szCs w:val="32"/>
        </w:rPr>
        <w:t>, J. (2019). Employment and fiscal effects of investing in universal childcare: a macro-micro simulation analysis for the UK. IKD Working Paper No. 83</w:t>
      </w:r>
      <w:r w:rsidR="00C848A1" w:rsidRPr="0006280B">
        <w:rPr>
          <w:sz w:val="32"/>
          <w:szCs w:val="32"/>
        </w:rPr>
        <w:t xml:space="preserve"> (</w:t>
      </w:r>
      <w:hyperlink r:id="rId11" w:history="1">
        <w:r w:rsidR="00C848A1" w:rsidRPr="0006280B">
          <w:rPr>
            <w:rStyle w:val="Hyperlink"/>
            <w:sz w:val="32"/>
            <w:szCs w:val="32"/>
          </w:rPr>
          <w:t>https://bit.ly/2C8E8vQ</w:t>
        </w:r>
      </w:hyperlink>
      <w:r w:rsidR="00C848A1" w:rsidRPr="0006280B">
        <w:rPr>
          <w:sz w:val="32"/>
          <w:szCs w:val="3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2D346" w14:textId="3E6DE0B1" w:rsidR="000E570C" w:rsidRDefault="000E570C" w:rsidP="000E570C">
    <w:pPr>
      <w:pStyle w:val="Header"/>
      <w:tabs>
        <w:tab w:val="clear" w:pos="4513"/>
        <w:tab w:val="clear" w:pos="9026"/>
        <w:tab w:val="left" w:pos="3552"/>
      </w:tabs>
      <w:jc w:val="right"/>
    </w:pPr>
    <w:r>
      <w:tab/>
    </w:r>
    <w:r>
      <w:rPr>
        <w:noProof/>
      </w:rPr>
      <w:drawing>
        <wp:inline distT="0" distB="0" distL="0" distR="0" wp14:anchorId="1851C2C4" wp14:editId="77E3E1F5">
          <wp:extent cx="1813560" cy="6902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19761" cy="692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04DB"/>
    <w:multiLevelType w:val="hybridMultilevel"/>
    <w:tmpl w:val="D23E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6590F"/>
    <w:multiLevelType w:val="hybridMultilevel"/>
    <w:tmpl w:val="B894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D0EF9"/>
    <w:multiLevelType w:val="hybridMultilevel"/>
    <w:tmpl w:val="53AC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B2E24"/>
    <w:multiLevelType w:val="hybridMultilevel"/>
    <w:tmpl w:val="860040E8"/>
    <w:lvl w:ilvl="0" w:tplc="828EE11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75F7D"/>
    <w:multiLevelType w:val="hybridMultilevel"/>
    <w:tmpl w:val="F720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82F31"/>
    <w:multiLevelType w:val="hybridMultilevel"/>
    <w:tmpl w:val="5280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D03AC"/>
    <w:multiLevelType w:val="hybridMultilevel"/>
    <w:tmpl w:val="3C34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D14AB"/>
    <w:multiLevelType w:val="hybridMultilevel"/>
    <w:tmpl w:val="1982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F0F98"/>
    <w:multiLevelType w:val="hybridMultilevel"/>
    <w:tmpl w:val="BACC9FC2"/>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CF5011"/>
    <w:multiLevelType w:val="hybridMultilevel"/>
    <w:tmpl w:val="C4E8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057B50"/>
    <w:multiLevelType w:val="hybridMultilevel"/>
    <w:tmpl w:val="F19C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4"/>
  </w:num>
  <w:num w:numId="6">
    <w:abstractNumId w:val="7"/>
  </w:num>
  <w:num w:numId="7">
    <w:abstractNumId w:val="10"/>
  </w:num>
  <w:num w:numId="8">
    <w:abstractNumId w:val="3"/>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9D"/>
    <w:rsid w:val="00000266"/>
    <w:rsid w:val="00002106"/>
    <w:rsid w:val="00002C70"/>
    <w:rsid w:val="000178D5"/>
    <w:rsid w:val="00037CD3"/>
    <w:rsid w:val="000605CE"/>
    <w:rsid w:val="0006280B"/>
    <w:rsid w:val="00080B63"/>
    <w:rsid w:val="0008466C"/>
    <w:rsid w:val="000B654F"/>
    <w:rsid w:val="000D3D41"/>
    <w:rsid w:val="000D53F8"/>
    <w:rsid w:val="000E30C2"/>
    <w:rsid w:val="000E570C"/>
    <w:rsid w:val="001062BC"/>
    <w:rsid w:val="001175B2"/>
    <w:rsid w:val="001232B2"/>
    <w:rsid w:val="00172A83"/>
    <w:rsid w:val="001823CB"/>
    <w:rsid w:val="001D05A5"/>
    <w:rsid w:val="001D260A"/>
    <w:rsid w:val="00227E08"/>
    <w:rsid w:val="0024648B"/>
    <w:rsid w:val="00273892"/>
    <w:rsid w:val="00274B6D"/>
    <w:rsid w:val="002F6918"/>
    <w:rsid w:val="002F7D9C"/>
    <w:rsid w:val="003071DA"/>
    <w:rsid w:val="003326F4"/>
    <w:rsid w:val="0037611C"/>
    <w:rsid w:val="003A35D3"/>
    <w:rsid w:val="003E2615"/>
    <w:rsid w:val="003F160C"/>
    <w:rsid w:val="00401E8C"/>
    <w:rsid w:val="00403F80"/>
    <w:rsid w:val="00415CC5"/>
    <w:rsid w:val="004375F6"/>
    <w:rsid w:val="004378FA"/>
    <w:rsid w:val="00446AAE"/>
    <w:rsid w:val="00473A05"/>
    <w:rsid w:val="00481FB1"/>
    <w:rsid w:val="00484BF6"/>
    <w:rsid w:val="004A0730"/>
    <w:rsid w:val="004A251F"/>
    <w:rsid w:val="004B324B"/>
    <w:rsid w:val="004B472E"/>
    <w:rsid w:val="005354A5"/>
    <w:rsid w:val="00542BFC"/>
    <w:rsid w:val="0055057A"/>
    <w:rsid w:val="00565595"/>
    <w:rsid w:val="00573900"/>
    <w:rsid w:val="00594B71"/>
    <w:rsid w:val="00597D93"/>
    <w:rsid w:val="005D2D9D"/>
    <w:rsid w:val="006358D1"/>
    <w:rsid w:val="006363F7"/>
    <w:rsid w:val="006C57E4"/>
    <w:rsid w:val="006E46D3"/>
    <w:rsid w:val="00706004"/>
    <w:rsid w:val="00711180"/>
    <w:rsid w:val="00740269"/>
    <w:rsid w:val="00776B59"/>
    <w:rsid w:val="00783791"/>
    <w:rsid w:val="0078507F"/>
    <w:rsid w:val="007A2AD6"/>
    <w:rsid w:val="007A6669"/>
    <w:rsid w:val="007D6B3B"/>
    <w:rsid w:val="007E2F38"/>
    <w:rsid w:val="0080008A"/>
    <w:rsid w:val="00825E8C"/>
    <w:rsid w:val="00835041"/>
    <w:rsid w:val="00861E1B"/>
    <w:rsid w:val="00862DA8"/>
    <w:rsid w:val="008A2DDC"/>
    <w:rsid w:val="008B07B3"/>
    <w:rsid w:val="008D25BF"/>
    <w:rsid w:val="00916ED5"/>
    <w:rsid w:val="009377B9"/>
    <w:rsid w:val="0094637B"/>
    <w:rsid w:val="00961E20"/>
    <w:rsid w:val="00962576"/>
    <w:rsid w:val="009A102A"/>
    <w:rsid w:val="009B7D9F"/>
    <w:rsid w:val="009C13A4"/>
    <w:rsid w:val="009E6D8C"/>
    <w:rsid w:val="00A76070"/>
    <w:rsid w:val="00A81ABE"/>
    <w:rsid w:val="00AA5EDA"/>
    <w:rsid w:val="00AB2CFA"/>
    <w:rsid w:val="00AD3CDC"/>
    <w:rsid w:val="00B07CEF"/>
    <w:rsid w:val="00B1489F"/>
    <w:rsid w:val="00B43EBE"/>
    <w:rsid w:val="00B7358F"/>
    <w:rsid w:val="00B73ED6"/>
    <w:rsid w:val="00B84730"/>
    <w:rsid w:val="00BA4858"/>
    <w:rsid w:val="00BB13EC"/>
    <w:rsid w:val="00BB7E88"/>
    <w:rsid w:val="00BC69D3"/>
    <w:rsid w:val="00C15762"/>
    <w:rsid w:val="00C20409"/>
    <w:rsid w:val="00C26FEA"/>
    <w:rsid w:val="00C848A1"/>
    <w:rsid w:val="00C9032A"/>
    <w:rsid w:val="00C9573B"/>
    <w:rsid w:val="00CD2787"/>
    <w:rsid w:val="00CD6044"/>
    <w:rsid w:val="00CE67DE"/>
    <w:rsid w:val="00D53E66"/>
    <w:rsid w:val="00D9718A"/>
    <w:rsid w:val="00DC221B"/>
    <w:rsid w:val="00DD20FE"/>
    <w:rsid w:val="00DF24A7"/>
    <w:rsid w:val="00DF72A0"/>
    <w:rsid w:val="00E43EDF"/>
    <w:rsid w:val="00E47DD0"/>
    <w:rsid w:val="00E70232"/>
    <w:rsid w:val="00ED2386"/>
    <w:rsid w:val="00EE2131"/>
    <w:rsid w:val="00EE7758"/>
    <w:rsid w:val="00EF5085"/>
    <w:rsid w:val="00F32DE5"/>
    <w:rsid w:val="00F37FDF"/>
    <w:rsid w:val="00F46F3B"/>
    <w:rsid w:val="00F576BF"/>
    <w:rsid w:val="00F97010"/>
    <w:rsid w:val="00FE69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6C1D1"/>
  <w15:docId w15:val="{D0612DE9-D77A-B141-959E-73199849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4BF6"/>
    <w:rPr>
      <w:sz w:val="20"/>
      <w:szCs w:val="20"/>
    </w:rPr>
  </w:style>
  <w:style w:type="character" w:customStyle="1" w:styleId="FootnoteTextChar">
    <w:name w:val="Footnote Text Char"/>
    <w:basedOn w:val="DefaultParagraphFont"/>
    <w:link w:val="FootnoteText"/>
    <w:uiPriority w:val="99"/>
    <w:semiHidden/>
    <w:rsid w:val="00484BF6"/>
    <w:rPr>
      <w:sz w:val="20"/>
      <w:szCs w:val="20"/>
    </w:rPr>
  </w:style>
  <w:style w:type="character" w:styleId="FootnoteReference">
    <w:name w:val="footnote reference"/>
    <w:basedOn w:val="DefaultParagraphFont"/>
    <w:uiPriority w:val="99"/>
    <w:semiHidden/>
    <w:unhideWhenUsed/>
    <w:rsid w:val="00484BF6"/>
    <w:rPr>
      <w:vertAlign w:val="superscript"/>
    </w:rPr>
  </w:style>
  <w:style w:type="character" w:styleId="Hyperlink">
    <w:name w:val="Hyperlink"/>
    <w:basedOn w:val="DefaultParagraphFont"/>
    <w:uiPriority w:val="99"/>
    <w:unhideWhenUsed/>
    <w:rsid w:val="00484BF6"/>
    <w:rPr>
      <w:color w:val="0563C1" w:themeColor="hyperlink"/>
      <w:u w:val="single"/>
    </w:rPr>
  </w:style>
  <w:style w:type="character" w:styleId="UnresolvedMention">
    <w:name w:val="Unresolved Mention"/>
    <w:basedOn w:val="DefaultParagraphFont"/>
    <w:uiPriority w:val="99"/>
    <w:semiHidden/>
    <w:unhideWhenUsed/>
    <w:rsid w:val="00484BF6"/>
    <w:rPr>
      <w:color w:val="605E5C"/>
      <w:shd w:val="clear" w:color="auto" w:fill="E1DFDD"/>
    </w:rPr>
  </w:style>
  <w:style w:type="paragraph" w:styleId="ListParagraph">
    <w:name w:val="List Paragraph"/>
    <w:basedOn w:val="Normal"/>
    <w:link w:val="ListParagraphChar"/>
    <w:uiPriority w:val="34"/>
    <w:qFormat/>
    <w:rsid w:val="00002C70"/>
    <w:pPr>
      <w:ind w:left="720"/>
      <w:contextualSpacing/>
    </w:pPr>
  </w:style>
  <w:style w:type="table" w:styleId="TableGrid">
    <w:name w:val="Table Grid"/>
    <w:basedOn w:val="TableNormal"/>
    <w:uiPriority w:val="39"/>
    <w:rsid w:val="00F5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758"/>
    <w:pPr>
      <w:autoSpaceDE w:val="0"/>
      <w:autoSpaceDN w:val="0"/>
      <w:adjustRightInd w:val="0"/>
    </w:pPr>
    <w:rPr>
      <w:rFonts w:ascii="Intelo Alt" w:hAnsi="Intelo Alt" w:cs="Intelo Alt"/>
      <w:color w:val="000000"/>
    </w:rPr>
  </w:style>
  <w:style w:type="paragraph" w:customStyle="1" w:styleId="Pa3">
    <w:name w:val="Pa3"/>
    <w:basedOn w:val="Default"/>
    <w:next w:val="Default"/>
    <w:uiPriority w:val="99"/>
    <w:rsid w:val="00EE7758"/>
    <w:pPr>
      <w:spacing w:line="201" w:lineRule="atLeast"/>
    </w:pPr>
    <w:rPr>
      <w:rFonts w:cstheme="minorBidi"/>
      <w:color w:val="auto"/>
    </w:rPr>
  </w:style>
  <w:style w:type="character" w:styleId="CommentReference">
    <w:name w:val="annotation reference"/>
    <w:basedOn w:val="DefaultParagraphFont"/>
    <w:uiPriority w:val="99"/>
    <w:semiHidden/>
    <w:unhideWhenUsed/>
    <w:rsid w:val="00776B59"/>
    <w:rPr>
      <w:sz w:val="16"/>
      <w:szCs w:val="16"/>
    </w:rPr>
  </w:style>
  <w:style w:type="paragraph" w:styleId="CommentText">
    <w:name w:val="annotation text"/>
    <w:basedOn w:val="Normal"/>
    <w:link w:val="CommentTextChar"/>
    <w:uiPriority w:val="99"/>
    <w:semiHidden/>
    <w:unhideWhenUsed/>
    <w:rsid w:val="00776B59"/>
    <w:rPr>
      <w:sz w:val="20"/>
      <w:szCs w:val="20"/>
    </w:rPr>
  </w:style>
  <w:style w:type="character" w:customStyle="1" w:styleId="CommentTextChar">
    <w:name w:val="Comment Text Char"/>
    <w:basedOn w:val="DefaultParagraphFont"/>
    <w:link w:val="CommentText"/>
    <w:uiPriority w:val="99"/>
    <w:semiHidden/>
    <w:rsid w:val="00776B59"/>
    <w:rPr>
      <w:sz w:val="20"/>
      <w:szCs w:val="20"/>
    </w:rPr>
  </w:style>
  <w:style w:type="paragraph" w:styleId="CommentSubject">
    <w:name w:val="annotation subject"/>
    <w:basedOn w:val="CommentText"/>
    <w:next w:val="CommentText"/>
    <w:link w:val="CommentSubjectChar"/>
    <w:uiPriority w:val="99"/>
    <w:semiHidden/>
    <w:unhideWhenUsed/>
    <w:rsid w:val="00776B59"/>
    <w:rPr>
      <w:b/>
      <w:bCs/>
    </w:rPr>
  </w:style>
  <w:style w:type="character" w:customStyle="1" w:styleId="CommentSubjectChar">
    <w:name w:val="Comment Subject Char"/>
    <w:basedOn w:val="CommentTextChar"/>
    <w:link w:val="CommentSubject"/>
    <w:uiPriority w:val="99"/>
    <w:semiHidden/>
    <w:rsid w:val="00776B59"/>
    <w:rPr>
      <w:b/>
      <w:bCs/>
      <w:sz w:val="20"/>
      <w:szCs w:val="20"/>
    </w:rPr>
  </w:style>
  <w:style w:type="character" w:customStyle="1" w:styleId="A6">
    <w:name w:val="A6"/>
    <w:uiPriority w:val="99"/>
    <w:rsid w:val="00776B59"/>
    <w:rPr>
      <w:rFonts w:cs="Intelo Alt"/>
      <w:color w:val="000000"/>
      <w:sz w:val="15"/>
      <w:szCs w:val="15"/>
      <w:u w:val="single"/>
    </w:rPr>
  </w:style>
  <w:style w:type="paragraph" w:styleId="Revision">
    <w:name w:val="Revision"/>
    <w:hidden/>
    <w:uiPriority w:val="99"/>
    <w:semiHidden/>
    <w:rsid w:val="00B43EBE"/>
  </w:style>
  <w:style w:type="paragraph" w:styleId="NoSpacing">
    <w:name w:val="No Spacing"/>
    <w:uiPriority w:val="1"/>
    <w:qFormat/>
    <w:rsid w:val="00BB7E88"/>
  </w:style>
  <w:style w:type="character" w:customStyle="1" w:styleId="ListParagraphChar">
    <w:name w:val="List Paragraph Char"/>
    <w:link w:val="ListParagraph"/>
    <w:uiPriority w:val="34"/>
    <w:locked/>
    <w:rsid w:val="001175B2"/>
  </w:style>
  <w:style w:type="paragraph" w:styleId="Header">
    <w:name w:val="header"/>
    <w:basedOn w:val="Normal"/>
    <w:link w:val="HeaderChar"/>
    <w:uiPriority w:val="99"/>
    <w:unhideWhenUsed/>
    <w:rsid w:val="000E570C"/>
    <w:pPr>
      <w:tabs>
        <w:tab w:val="center" w:pos="4513"/>
        <w:tab w:val="right" w:pos="9026"/>
      </w:tabs>
    </w:pPr>
  </w:style>
  <w:style w:type="character" w:customStyle="1" w:styleId="HeaderChar">
    <w:name w:val="Header Char"/>
    <w:basedOn w:val="DefaultParagraphFont"/>
    <w:link w:val="Header"/>
    <w:uiPriority w:val="99"/>
    <w:rsid w:val="000E570C"/>
  </w:style>
  <w:style w:type="paragraph" w:styleId="Footer">
    <w:name w:val="footer"/>
    <w:basedOn w:val="Normal"/>
    <w:link w:val="FooterChar"/>
    <w:uiPriority w:val="99"/>
    <w:unhideWhenUsed/>
    <w:rsid w:val="000E570C"/>
    <w:pPr>
      <w:tabs>
        <w:tab w:val="center" w:pos="4513"/>
        <w:tab w:val="right" w:pos="9026"/>
      </w:tabs>
    </w:pPr>
  </w:style>
  <w:style w:type="character" w:customStyle="1" w:styleId="FooterChar">
    <w:name w:val="Footer Char"/>
    <w:basedOn w:val="DefaultParagraphFont"/>
    <w:link w:val="Footer"/>
    <w:uiPriority w:val="99"/>
    <w:rsid w:val="000E570C"/>
  </w:style>
  <w:style w:type="character" w:styleId="EndnoteReference">
    <w:name w:val="endnote reference"/>
    <w:basedOn w:val="DefaultParagraphFont"/>
    <w:uiPriority w:val="99"/>
    <w:semiHidden/>
    <w:unhideWhenUsed/>
    <w:rsid w:val="000021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7755">
      <w:bodyDiv w:val="1"/>
      <w:marLeft w:val="0"/>
      <w:marRight w:val="0"/>
      <w:marTop w:val="0"/>
      <w:marBottom w:val="0"/>
      <w:divBdr>
        <w:top w:val="none" w:sz="0" w:space="0" w:color="auto"/>
        <w:left w:val="none" w:sz="0" w:space="0" w:color="auto"/>
        <w:bottom w:val="none" w:sz="0" w:space="0" w:color="auto"/>
        <w:right w:val="none" w:sz="0" w:space="0" w:color="auto"/>
      </w:divBdr>
    </w:div>
    <w:div w:id="86849650">
      <w:bodyDiv w:val="1"/>
      <w:marLeft w:val="0"/>
      <w:marRight w:val="0"/>
      <w:marTop w:val="0"/>
      <w:marBottom w:val="0"/>
      <w:divBdr>
        <w:top w:val="none" w:sz="0" w:space="0" w:color="auto"/>
        <w:left w:val="none" w:sz="0" w:space="0" w:color="auto"/>
        <w:bottom w:val="none" w:sz="0" w:space="0" w:color="auto"/>
        <w:right w:val="none" w:sz="0" w:space="0" w:color="auto"/>
      </w:divBdr>
    </w:div>
    <w:div w:id="103423777">
      <w:bodyDiv w:val="1"/>
      <w:marLeft w:val="0"/>
      <w:marRight w:val="0"/>
      <w:marTop w:val="0"/>
      <w:marBottom w:val="0"/>
      <w:divBdr>
        <w:top w:val="none" w:sz="0" w:space="0" w:color="auto"/>
        <w:left w:val="none" w:sz="0" w:space="0" w:color="auto"/>
        <w:bottom w:val="none" w:sz="0" w:space="0" w:color="auto"/>
        <w:right w:val="none" w:sz="0" w:space="0" w:color="auto"/>
      </w:divBdr>
    </w:div>
    <w:div w:id="265312163">
      <w:bodyDiv w:val="1"/>
      <w:marLeft w:val="0"/>
      <w:marRight w:val="0"/>
      <w:marTop w:val="0"/>
      <w:marBottom w:val="0"/>
      <w:divBdr>
        <w:top w:val="none" w:sz="0" w:space="0" w:color="auto"/>
        <w:left w:val="none" w:sz="0" w:space="0" w:color="auto"/>
        <w:bottom w:val="none" w:sz="0" w:space="0" w:color="auto"/>
        <w:right w:val="none" w:sz="0" w:space="0" w:color="auto"/>
      </w:divBdr>
    </w:div>
    <w:div w:id="377821354">
      <w:bodyDiv w:val="1"/>
      <w:marLeft w:val="0"/>
      <w:marRight w:val="0"/>
      <w:marTop w:val="0"/>
      <w:marBottom w:val="0"/>
      <w:divBdr>
        <w:top w:val="none" w:sz="0" w:space="0" w:color="auto"/>
        <w:left w:val="none" w:sz="0" w:space="0" w:color="auto"/>
        <w:bottom w:val="none" w:sz="0" w:space="0" w:color="auto"/>
        <w:right w:val="none" w:sz="0" w:space="0" w:color="auto"/>
      </w:divBdr>
    </w:div>
    <w:div w:id="412552898">
      <w:bodyDiv w:val="1"/>
      <w:marLeft w:val="0"/>
      <w:marRight w:val="0"/>
      <w:marTop w:val="0"/>
      <w:marBottom w:val="0"/>
      <w:divBdr>
        <w:top w:val="none" w:sz="0" w:space="0" w:color="auto"/>
        <w:left w:val="none" w:sz="0" w:space="0" w:color="auto"/>
        <w:bottom w:val="none" w:sz="0" w:space="0" w:color="auto"/>
        <w:right w:val="none" w:sz="0" w:space="0" w:color="auto"/>
      </w:divBdr>
    </w:div>
    <w:div w:id="465853941">
      <w:bodyDiv w:val="1"/>
      <w:marLeft w:val="0"/>
      <w:marRight w:val="0"/>
      <w:marTop w:val="0"/>
      <w:marBottom w:val="0"/>
      <w:divBdr>
        <w:top w:val="none" w:sz="0" w:space="0" w:color="auto"/>
        <w:left w:val="none" w:sz="0" w:space="0" w:color="auto"/>
        <w:bottom w:val="none" w:sz="0" w:space="0" w:color="auto"/>
        <w:right w:val="none" w:sz="0" w:space="0" w:color="auto"/>
      </w:divBdr>
    </w:div>
    <w:div w:id="493255817">
      <w:bodyDiv w:val="1"/>
      <w:marLeft w:val="0"/>
      <w:marRight w:val="0"/>
      <w:marTop w:val="0"/>
      <w:marBottom w:val="0"/>
      <w:divBdr>
        <w:top w:val="none" w:sz="0" w:space="0" w:color="auto"/>
        <w:left w:val="none" w:sz="0" w:space="0" w:color="auto"/>
        <w:bottom w:val="none" w:sz="0" w:space="0" w:color="auto"/>
        <w:right w:val="none" w:sz="0" w:space="0" w:color="auto"/>
      </w:divBdr>
    </w:div>
    <w:div w:id="597176291">
      <w:bodyDiv w:val="1"/>
      <w:marLeft w:val="0"/>
      <w:marRight w:val="0"/>
      <w:marTop w:val="0"/>
      <w:marBottom w:val="0"/>
      <w:divBdr>
        <w:top w:val="none" w:sz="0" w:space="0" w:color="auto"/>
        <w:left w:val="none" w:sz="0" w:space="0" w:color="auto"/>
        <w:bottom w:val="none" w:sz="0" w:space="0" w:color="auto"/>
        <w:right w:val="none" w:sz="0" w:space="0" w:color="auto"/>
      </w:divBdr>
    </w:div>
    <w:div w:id="716507912">
      <w:bodyDiv w:val="1"/>
      <w:marLeft w:val="0"/>
      <w:marRight w:val="0"/>
      <w:marTop w:val="0"/>
      <w:marBottom w:val="0"/>
      <w:divBdr>
        <w:top w:val="none" w:sz="0" w:space="0" w:color="auto"/>
        <w:left w:val="none" w:sz="0" w:space="0" w:color="auto"/>
        <w:bottom w:val="none" w:sz="0" w:space="0" w:color="auto"/>
        <w:right w:val="none" w:sz="0" w:space="0" w:color="auto"/>
      </w:divBdr>
    </w:div>
    <w:div w:id="820315470">
      <w:bodyDiv w:val="1"/>
      <w:marLeft w:val="0"/>
      <w:marRight w:val="0"/>
      <w:marTop w:val="0"/>
      <w:marBottom w:val="0"/>
      <w:divBdr>
        <w:top w:val="none" w:sz="0" w:space="0" w:color="auto"/>
        <w:left w:val="none" w:sz="0" w:space="0" w:color="auto"/>
        <w:bottom w:val="none" w:sz="0" w:space="0" w:color="auto"/>
        <w:right w:val="none" w:sz="0" w:space="0" w:color="auto"/>
      </w:divBdr>
    </w:div>
    <w:div w:id="874081742">
      <w:bodyDiv w:val="1"/>
      <w:marLeft w:val="0"/>
      <w:marRight w:val="0"/>
      <w:marTop w:val="0"/>
      <w:marBottom w:val="0"/>
      <w:divBdr>
        <w:top w:val="none" w:sz="0" w:space="0" w:color="auto"/>
        <w:left w:val="none" w:sz="0" w:space="0" w:color="auto"/>
        <w:bottom w:val="none" w:sz="0" w:space="0" w:color="auto"/>
        <w:right w:val="none" w:sz="0" w:space="0" w:color="auto"/>
      </w:divBdr>
    </w:div>
    <w:div w:id="972834983">
      <w:bodyDiv w:val="1"/>
      <w:marLeft w:val="0"/>
      <w:marRight w:val="0"/>
      <w:marTop w:val="0"/>
      <w:marBottom w:val="0"/>
      <w:divBdr>
        <w:top w:val="none" w:sz="0" w:space="0" w:color="auto"/>
        <w:left w:val="none" w:sz="0" w:space="0" w:color="auto"/>
        <w:bottom w:val="none" w:sz="0" w:space="0" w:color="auto"/>
        <w:right w:val="none" w:sz="0" w:space="0" w:color="auto"/>
      </w:divBdr>
    </w:div>
    <w:div w:id="1301768173">
      <w:bodyDiv w:val="1"/>
      <w:marLeft w:val="0"/>
      <w:marRight w:val="0"/>
      <w:marTop w:val="0"/>
      <w:marBottom w:val="0"/>
      <w:divBdr>
        <w:top w:val="none" w:sz="0" w:space="0" w:color="auto"/>
        <w:left w:val="none" w:sz="0" w:space="0" w:color="auto"/>
        <w:bottom w:val="none" w:sz="0" w:space="0" w:color="auto"/>
        <w:right w:val="none" w:sz="0" w:space="0" w:color="auto"/>
      </w:divBdr>
    </w:div>
    <w:div w:id="1303776233">
      <w:bodyDiv w:val="1"/>
      <w:marLeft w:val="0"/>
      <w:marRight w:val="0"/>
      <w:marTop w:val="0"/>
      <w:marBottom w:val="0"/>
      <w:divBdr>
        <w:top w:val="none" w:sz="0" w:space="0" w:color="auto"/>
        <w:left w:val="none" w:sz="0" w:space="0" w:color="auto"/>
        <w:bottom w:val="none" w:sz="0" w:space="0" w:color="auto"/>
        <w:right w:val="none" w:sz="0" w:space="0" w:color="auto"/>
      </w:divBdr>
    </w:div>
    <w:div w:id="1347712730">
      <w:bodyDiv w:val="1"/>
      <w:marLeft w:val="0"/>
      <w:marRight w:val="0"/>
      <w:marTop w:val="0"/>
      <w:marBottom w:val="0"/>
      <w:divBdr>
        <w:top w:val="none" w:sz="0" w:space="0" w:color="auto"/>
        <w:left w:val="none" w:sz="0" w:space="0" w:color="auto"/>
        <w:bottom w:val="none" w:sz="0" w:space="0" w:color="auto"/>
        <w:right w:val="none" w:sz="0" w:space="0" w:color="auto"/>
      </w:divBdr>
    </w:div>
    <w:div w:id="1363702303">
      <w:bodyDiv w:val="1"/>
      <w:marLeft w:val="0"/>
      <w:marRight w:val="0"/>
      <w:marTop w:val="0"/>
      <w:marBottom w:val="0"/>
      <w:divBdr>
        <w:top w:val="none" w:sz="0" w:space="0" w:color="auto"/>
        <w:left w:val="none" w:sz="0" w:space="0" w:color="auto"/>
        <w:bottom w:val="none" w:sz="0" w:space="0" w:color="auto"/>
        <w:right w:val="none" w:sz="0" w:space="0" w:color="auto"/>
      </w:divBdr>
    </w:div>
    <w:div w:id="1371799795">
      <w:bodyDiv w:val="1"/>
      <w:marLeft w:val="0"/>
      <w:marRight w:val="0"/>
      <w:marTop w:val="0"/>
      <w:marBottom w:val="0"/>
      <w:divBdr>
        <w:top w:val="none" w:sz="0" w:space="0" w:color="auto"/>
        <w:left w:val="none" w:sz="0" w:space="0" w:color="auto"/>
        <w:bottom w:val="none" w:sz="0" w:space="0" w:color="auto"/>
        <w:right w:val="none" w:sz="0" w:space="0" w:color="auto"/>
      </w:divBdr>
    </w:div>
    <w:div w:id="1396200800">
      <w:bodyDiv w:val="1"/>
      <w:marLeft w:val="0"/>
      <w:marRight w:val="0"/>
      <w:marTop w:val="0"/>
      <w:marBottom w:val="0"/>
      <w:divBdr>
        <w:top w:val="none" w:sz="0" w:space="0" w:color="auto"/>
        <w:left w:val="none" w:sz="0" w:space="0" w:color="auto"/>
        <w:bottom w:val="none" w:sz="0" w:space="0" w:color="auto"/>
        <w:right w:val="none" w:sz="0" w:space="0" w:color="auto"/>
      </w:divBdr>
    </w:div>
    <w:div w:id="1436437829">
      <w:bodyDiv w:val="1"/>
      <w:marLeft w:val="0"/>
      <w:marRight w:val="0"/>
      <w:marTop w:val="0"/>
      <w:marBottom w:val="0"/>
      <w:divBdr>
        <w:top w:val="none" w:sz="0" w:space="0" w:color="auto"/>
        <w:left w:val="none" w:sz="0" w:space="0" w:color="auto"/>
        <w:bottom w:val="none" w:sz="0" w:space="0" w:color="auto"/>
        <w:right w:val="none" w:sz="0" w:space="0" w:color="auto"/>
      </w:divBdr>
    </w:div>
    <w:div w:id="1440878890">
      <w:bodyDiv w:val="1"/>
      <w:marLeft w:val="0"/>
      <w:marRight w:val="0"/>
      <w:marTop w:val="0"/>
      <w:marBottom w:val="0"/>
      <w:divBdr>
        <w:top w:val="none" w:sz="0" w:space="0" w:color="auto"/>
        <w:left w:val="none" w:sz="0" w:space="0" w:color="auto"/>
        <w:bottom w:val="none" w:sz="0" w:space="0" w:color="auto"/>
        <w:right w:val="none" w:sz="0" w:space="0" w:color="auto"/>
      </w:divBdr>
    </w:div>
    <w:div w:id="1460033017">
      <w:bodyDiv w:val="1"/>
      <w:marLeft w:val="0"/>
      <w:marRight w:val="0"/>
      <w:marTop w:val="0"/>
      <w:marBottom w:val="0"/>
      <w:divBdr>
        <w:top w:val="none" w:sz="0" w:space="0" w:color="auto"/>
        <w:left w:val="none" w:sz="0" w:space="0" w:color="auto"/>
        <w:bottom w:val="none" w:sz="0" w:space="0" w:color="auto"/>
        <w:right w:val="none" w:sz="0" w:space="0" w:color="auto"/>
      </w:divBdr>
    </w:div>
    <w:div w:id="1482504723">
      <w:bodyDiv w:val="1"/>
      <w:marLeft w:val="0"/>
      <w:marRight w:val="0"/>
      <w:marTop w:val="0"/>
      <w:marBottom w:val="0"/>
      <w:divBdr>
        <w:top w:val="none" w:sz="0" w:space="0" w:color="auto"/>
        <w:left w:val="none" w:sz="0" w:space="0" w:color="auto"/>
        <w:bottom w:val="none" w:sz="0" w:space="0" w:color="auto"/>
        <w:right w:val="none" w:sz="0" w:space="0" w:color="auto"/>
      </w:divBdr>
    </w:div>
    <w:div w:id="1517160282">
      <w:bodyDiv w:val="1"/>
      <w:marLeft w:val="0"/>
      <w:marRight w:val="0"/>
      <w:marTop w:val="0"/>
      <w:marBottom w:val="0"/>
      <w:divBdr>
        <w:top w:val="none" w:sz="0" w:space="0" w:color="auto"/>
        <w:left w:val="none" w:sz="0" w:space="0" w:color="auto"/>
        <w:bottom w:val="none" w:sz="0" w:space="0" w:color="auto"/>
        <w:right w:val="none" w:sz="0" w:space="0" w:color="auto"/>
      </w:divBdr>
    </w:div>
    <w:div w:id="1657684806">
      <w:bodyDiv w:val="1"/>
      <w:marLeft w:val="0"/>
      <w:marRight w:val="0"/>
      <w:marTop w:val="0"/>
      <w:marBottom w:val="0"/>
      <w:divBdr>
        <w:top w:val="none" w:sz="0" w:space="0" w:color="auto"/>
        <w:left w:val="none" w:sz="0" w:space="0" w:color="auto"/>
        <w:bottom w:val="none" w:sz="0" w:space="0" w:color="auto"/>
        <w:right w:val="none" w:sz="0" w:space="0" w:color="auto"/>
      </w:divBdr>
    </w:div>
    <w:div w:id="1826512962">
      <w:bodyDiv w:val="1"/>
      <w:marLeft w:val="0"/>
      <w:marRight w:val="0"/>
      <w:marTop w:val="0"/>
      <w:marBottom w:val="0"/>
      <w:divBdr>
        <w:top w:val="none" w:sz="0" w:space="0" w:color="auto"/>
        <w:left w:val="none" w:sz="0" w:space="0" w:color="auto"/>
        <w:bottom w:val="none" w:sz="0" w:space="0" w:color="auto"/>
        <w:right w:val="none" w:sz="0" w:space="0" w:color="auto"/>
      </w:divBdr>
    </w:div>
    <w:div w:id="1897623205">
      <w:bodyDiv w:val="1"/>
      <w:marLeft w:val="0"/>
      <w:marRight w:val="0"/>
      <w:marTop w:val="0"/>
      <w:marBottom w:val="0"/>
      <w:divBdr>
        <w:top w:val="none" w:sz="0" w:space="0" w:color="auto"/>
        <w:left w:val="none" w:sz="0" w:space="0" w:color="auto"/>
        <w:bottom w:val="none" w:sz="0" w:space="0" w:color="auto"/>
        <w:right w:val="none" w:sz="0" w:space="0" w:color="auto"/>
      </w:divBdr>
    </w:div>
    <w:div w:id="1941136602">
      <w:bodyDiv w:val="1"/>
      <w:marLeft w:val="0"/>
      <w:marRight w:val="0"/>
      <w:marTop w:val="0"/>
      <w:marBottom w:val="0"/>
      <w:divBdr>
        <w:top w:val="none" w:sz="0" w:space="0" w:color="auto"/>
        <w:left w:val="none" w:sz="0" w:space="0" w:color="auto"/>
        <w:bottom w:val="none" w:sz="0" w:space="0" w:color="auto"/>
        <w:right w:val="none" w:sz="0" w:space="0" w:color="auto"/>
      </w:divBdr>
    </w:div>
    <w:div w:id="2003661030">
      <w:bodyDiv w:val="1"/>
      <w:marLeft w:val="0"/>
      <w:marRight w:val="0"/>
      <w:marTop w:val="0"/>
      <w:marBottom w:val="0"/>
      <w:divBdr>
        <w:top w:val="none" w:sz="0" w:space="0" w:color="auto"/>
        <w:left w:val="none" w:sz="0" w:space="0" w:color="auto"/>
        <w:bottom w:val="none" w:sz="0" w:space="0" w:color="auto"/>
        <w:right w:val="none" w:sz="0" w:space="0" w:color="auto"/>
      </w:divBdr>
    </w:div>
    <w:div w:id="2139837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g.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bg.org.uk/ldp/"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363S7SI" TargetMode="External"/><Relationship Id="rId3" Type="http://schemas.openxmlformats.org/officeDocument/2006/relationships/hyperlink" Target="https://bit.ly/2Ue4Tv1" TargetMode="External"/><Relationship Id="rId7" Type="http://schemas.openxmlformats.org/officeDocument/2006/relationships/hyperlink" Target="https://bit.ly/2UG10zi" TargetMode="External"/><Relationship Id="rId2" Type="http://schemas.openxmlformats.org/officeDocument/2006/relationships/hyperlink" Target="https://bit.ly/3w2ixyQ" TargetMode="External"/><Relationship Id="rId1" Type="http://schemas.openxmlformats.org/officeDocument/2006/relationships/hyperlink" Target="https://wbg.org.uk/commission/" TargetMode="External"/><Relationship Id="rId6" Type="http://schemas.openxmlformats.org/officeDocument/2006/relationships/hyperlink" Target="https://bit.ly/3w2ixyQ" TargetMode="External"/><Relationship Id="rId11" Type="http://schemas.openxmlformats.org/officeDocument/2006/relationships/hyperlink" Target="https://bit.ly/2C8E8vQ" TargetMode="External"/><Relationship Id="rId5" Type="http://schemas.openxmlformats.org/officeDocument/2006/relationships/hyperlink" Target="http://bit.ly/2CRIx8N" TargetMode="External"/><Relationship Id="rId10" Type="http://schemas.openxmlformats.org/officeDocument/2006/relationships/hyperlink" Target="https://bit.ly/35Z3f39" TargetMode="External"/><Relationship Id="rId4" Type="http://schemas.openxmlformats.org/officeDocument/2006/relationships/hyperlink" Target="https://bit.ly/3qzBisn" TargetMode="External"/><Relationship Id="rId9" Type="http://schemas.openxmlformats.org/officeDocument/2006/relationships/hyperlink" Target="https://bit.ly/3w8TSb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D30F3-516F-2945-99EF-181479A1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Abid</dc:creator>
  <cp:keywords/>
  <dc:description/>
  <cp:lastModifiedBy>Hana Abid</cp:lastModifiedBy>
  <cp:revision>3</cp:revision>
  <dcterms:created xsi:type="dcterms:W3CDTF">2021-06-30T16:16:00Z</dcterms:created>
  <dcterms:modified xsi:type="dcterms:W3CDTF">2021-06-30T16:20:00Z</dcterms:modified>
</cp:coreProperties>
</file>